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11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64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kupní smlouvě „Asfaltová směs určená pro strojní zpracování, Část VI - cestmistrovství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Pelhřimov“, uzavřené dne 24. 6. 2010</w:t>
      </w:r>
    </w:p>
    <w:tbl>
      <w:tblPr>
        <w:tblOverlap w:val="never"/>
        <w:jc w:val="center"/>
        <w:tblLayout w:type="fixed"/>
      </w:tblPr>
      <w:tblGrid>
        <w:gridCol w:w="1982"/>
        <w:gridCol w:w="6773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Článek 1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center"/>
        <w:tblLayout w:type="fixed"/>
      </w:tblPr>
      <w:tblGrid>
        <w:gridCol w:w="1982"/>
        <w:gridCol w:w="6773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a.s., číslo účtu: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jedné jako kupující)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SWIETELSKY stavební s.r.o. odštěpný závod Dopravní stavby VÝCHOD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1982"/>
        <w:gridCol w:w="6773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Silu 1143, 393 01 Pelhřimov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Zdeňkem Havlem, vedoucím odštěpného závodu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UniCredit Bank Czech Republic and Slovakia,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82"/>
        <w:gridCol w:w="6773"/>
      </w:tblGrid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48035599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CZ48035599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zapsaná v obchodním rejstříku, vedeném Krajským soudem v Českých Budějovicích oddíl C, vložka 8032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druhé jako prodávající)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dohodly na změně stávající smlouvy číslo kupujícího 163/KSÚSV/PE/10, ze dne 24. 6. 2010 ve znění Dodatků č. 1 až 10 (dále jen „smlouva“) spočívající ve změně ceny plnění v souladu s odst. 11.2.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11. Závěrečná ustanovení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 naplnění podmínek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9. Inflační doložka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 na základě ročního růstu indexu spotřebitelských cen vyhlášených Českým statistickým úřadem za rok 2022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ve znění platných dodatků navyšuje o sjednanou část inflace z roku 2022 a to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6 %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platných cen aktualizovaných Dodatkem č. 10 smlouvy.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52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after="4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za plnění sjednané v odstavci 3.1. Článku 3 Cena za plnění stávající smlouvy se v souladu s výše uvedeným nahrazují novými cenami takto:</w:t>
      </w:r>
    </w:p>
    <w:tbl>
      <w:tblPr>
        <w:tblOverlap w:val="never"/>
        <w:jc w:val="center"/>
        <w:tblLayout w:type="fixed"/>
      </w:tblPr>
      <w:tblGrid>
        <w:gridCol w:w="2328"/>
        <w:gridCol w:w="3293"/>
      </w:tblGrid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Asfaltová směs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tunu v Kč bez DPH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ACO 11+ 50/70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2 047,-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ACP 16+ 50/70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1 954,-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ACL 16+ 50/70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1 981,-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ACP 22+ 50/70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1 948,-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after="12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after="82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č. 11 před jeho účinností se považuje za plnění dle tohoto Dodatku č. 11 a práva a povinnosti z toho vzniklé se řídí tímto Dodatkem č. 11.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4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nedotčené Dodatkem č. 11 ve znění platných dodatků se nemění a zůstávají v platnosti.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11 je nedílnou součástí smlouvy v aktuálním znění.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11 je vyhotoven v elektronické podobě, přičemž obě smluvní strany obdrží jeho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jeho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11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887" w:left="1373" w:right="1378" w:bottom="1978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12700</wp:posOffset>
                </wp:positionV>
                <wp:extent cx="1438910" cy="173990"/>
                <wp:wrapSquare wrapText="lef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89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15.39999999999998pt;margin-top:1.pt;width:113.3pt;height:13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Pelhřimově dne: viz podpis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3" w:after="2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87" w:left="0" w:right="0" w:bottom="18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Zdeněk Havel, vedoucí odštěpného závodu Dopravní stavby VÝCHOD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SWIETELSKY stavební s.r.o.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87" w:left="1378" w:right="2669" w:bottom="1887" w:header="0" w:footer="3" w:gutter="0"/>
          <w:cols w:num="2" w:space="173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 Krajská správa a údržba silnic Vysočiny, příspěvková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887" w:left="1378" w:right="2669" w:bottom="1887" w:header="0" w:footer="3" w:gutter="0"/>
      <w:cols w:num="2" w:space="173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9860915</wp:posOffset>
              </wp:positionV>
              <wp:extent cx="60071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07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3.85000000000002pt;margin-top:776.45000000000005pt;width:47.299999999999997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878205</wp:posOffset>
              </wp:positionH>
              <wp:positionV relativeFrom="page">
                <wp:posOffset>9822815</wp:posOffset>
              </wp:positionV>
              <wp:extent cx="580009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000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73.4500000000000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4386580</wp:posOffset>
              </wp:positionH>
              <wp:positionV relativeFrom="page">
                <wp:posOffset>509270</wp:posOffset>
              </wp:positionV>
              <wp:extent cx="2035810" cy="946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Číslo smlouvy kupujícího: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163/KSÚSV/PE/10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5.39999999999998pt;margin-top:40.100000000000001pt;width:160.30000000000001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kupujícího: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163/KSÚSV/PE/10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4386580</wp:posOffset>
              </wp:positionH>
              <wp:positionV relativeFrom="page">
                <wp:posOffset>701675</wp:posOffset>
              </wp:positionV>
              <wp:extent cx="1972310" cy="946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723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Číslo smlouvy prodávajícího: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S11-043-0026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45.39999999999998pt;margin-top:55.25pt;width:155.30000000000001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prodávajícího: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S11-043-0026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4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line="64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spacing w:after="1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D O D A T E K   č</dc:title>
  <dc:subject/>
  <dc:creator>baranovic</dc:creator>
  <cp:keywords/>
</cp:coreProperties>
</file>