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E674" w14:textId="77777777" w:rsidR="00601D81" w:rsidRPr="00D60BD6" w:rsidRDefault="00601D81" w:rsidP="00601D81">
      <w:pPr>
        <w:pStyle w:val="Nzev"/>
        <w:rPr>
          <w:rFonts w:ascii="Calibri" w:hAnsi="Calibri" w:cs="Calibri"/>
          <w:b w:val="0"/>
          <w:bCs w:val="0"/>
          <w:smallCaps/>
          <w:sz w:val="40"/>
          <w:szCs w:val="40"/>
          <w:u w:val="single"/>
        </w:rPr>
      </w:pPr>
      <w:r w:rsidRPr="00D60BD6">
        <w:rPr>
          <w:rFonts w:ascii="Calibri" w:hAnsi="Calibri" w:cs="Calibri"/>
          <w:b w:val="0"/>
          <w:bCs w:val="0"/>
          <w:smallCaps/>
          <w:sz w:val="40"/>
          <w:szCs w:val="40"/>
          <w:u w:val="single"/>
        </w:rPr>
        <w:t>Smlouva O Nájmu Movité Věci</w:t>
      </w:r>
    </w:p>
    <w:p w14:paraId="4AD5DCA3" w14:textId="77777777" w:rsidR="00601D81" w:rsidRPr="00D60BD6" w:rsidRDefault="00601D81" w:rsidP="00601D81">
      <w:pPr>
        <w:spacing w:before="60"/>
        <w:jc w:val="center"/>
        <w:rPr>
          <w:rFonts w:asciiTheme="minorHAnsi" w:hAnsiTheme="minorHAnsi" w:cs="Tahoma"/>
          <w:bCs/>
          <w:sz w:val="20"/>
          <w:szCs w:val="20"/>
        </w:rPr>
      </w:pPr>
      <w:r w:rsidRPr="00D60BD6">
        <w:rPr>
          <w:rFonts w:asciiTheme="minorHAnsi" w:hAnsiTheme="minorHAnsi" w:cs="Tahoma"/>
          <w:bCs/>
          <w:sz w:val="20"/>
          <w:szCs w:val="20"/>
        </w:rPr>
        <w:t xml:space="preserve">uzavřená ve smyslu </w:t>
      </w:r>
      <w:proofErr w:type="spellStart"/>
      <w:r w:rsidRPr="00D60BD6">
        <w:rPr>
          <w:rFonts w:asciiTheme="minorHAnsi" w:hAnsiTheme="minorHAnsi" w:cs="Tahoma"/>
          <w:bCs/>
          <w:sz w:val="20"/>
          <w:szCs w:val="20"/>
        </w:rPr>
        <w:t>ust</w:t>
      </w:r>
      <w:proofErr w:type="spellEnd"/>
      <w:r w:rsidRPr="00D60BD6">
        <w:rPr>
          <w:rFonts w:asciiTheme="minorHAnsi" w:hAnsiTheme="minorHAnsi" w:cs="Tahoma"/>
          <w:bCs/>
          <w:sz w:val="20"/>
          <w:szCs w:val="20"/>
        </w:rPr>
        <w:t>. § 2316 a násl. občanského zákoníku č. 89/2012 Sb.,</w:t>
      </w:r>
    </w:p>
    <w:p w14:paraId="097E33A8" w14:textId="77777777" w:rsidR="00601D81" w:rsidRPr="00D60BD6" w:rsidRDefault="00601D81" w:rsidP="00601D81">
      <w:pPr>
        <w:jc w:val="center"/>
        <w:rPr>
          <w:rFonts w:ascii="Calibri" w:hAnsi="Calibri" w:cs="Calibri"/>
          <w:sz w:val="20"/>
          <w:szCs w:val="20"/>
        </w:rPr>
      </w:pPr>
      <w:r w:rsidRPr="00D60BD6">
        <w:rPr>
          <w:rFonts w:asciiTheme="minorHAnsi" w:hAnsiTheme="minorHAnsi" w:cs="Tahoma"/>
          <w:bCs/>
          <w:sz w:val="20"/>
          <w:szCs w:val="20"/>
        </w:rPr>
        <w:t>ve znění pozdějších předpisů</w:t>
      </w:r>
    </w:p>
    <w:p w14:paraId="499070B9" w14:textId="77777777" w:rsidR="00601D81" w:rsidRPr="00D60BD6" w:rsidRDefault="00601D81" w:rsidP="00601D81">
      <w:pPr>
        <w:rPr>
          <w:rFonts w:ascii="Calibri" w:hAnsi="Calibri" w:cs="Calibri"/>
          <w:sz w:val="22"/>
          <w:szCs w:val="22"/>
        </w:rPr>
      </w:pPr>
    </w:p>
    <w:p w14:paraId="454147FE" w14:textId="77777777" w:rsidR="00601D81" w:rsidRPr="00D60BD6" w:rsidRDefault="00601D81" w:rsidP="00601D81">
      <w:pPr>
        <w:jc w:val="both"/>
        <w:rPr>
          <w:rFonts w:ascii="Calibri" w:hAnsi="Calibri" w:cs="Calibri"/>
          <w:b/>
          <w:bCs/>
          <w:sz w:val="22"/>
          <w:szCs w:val="22"/>
        </w:rPr>
      </w:pPr>
      <w:r w:rsidRPr="00D60BD6">
        <w:rPr>
          <w:rFonts w:ascii="Calibri" w:hAnsi="Calibri" w:cs="Calibri"/>
          <w:b/>
          <w:bCs/>
          <w:sz w:val="22"/>
          <w:szCs w:val="22"/>
        </w:rPr>
        <w:t>1. Pronajímatel:</w:t>
      </w:r>
    </w:p>
    <w:p w14:paraId="7473AC7E" w14:textId="77777777" w:rsidR="00601D81" w:rsidRPr="00D60BD6" w:rsidRDefault="00601D81" w:rsidP="00601D81">
      <w:pPr>
        <w:ind w:left="-360" w:firstLine="360"/>
        <w:jc w:val="both"/>
        <w:rPr>
          <w:rFonts w:ascii="Calibri" w:hAnsi="Calibri" w:cs="Calibri"/>
          <w:sz w:val="10"/>
          <w:szCs w:val="10"/>
        </w:rPr>
      </w:pPr>
    </w:p>
    <w:p w14:paraId="14AD5A15" w14:textId="77777777" w:rsidR="00601D81" w:rsidRPr="00D60BD6" w:rsidRDefault="00601D81" w:rsidP="00601D81">
      <w:pPr>
        <w:jc w:val="both"/>
        <w:rPr>
          <w:rFonts w:ascii="Calibri" w:hAnsi="Calibri" w:cs="Tahoma"/>
          <w:b/>
          <w:sz w:val="22"/>
          <w:szCs w:val="22"/>
        </w:rPr>
      </w:pPr>
      <w:r w:rsidRPr="00D60BD6">
        <w:rPr>
          <w:rFonts w:ascii="Calibri" w:hAnsi="Calibri" w:cs="Tahoma"/>
          <w:b/>
          <w:sz w:val="22"/>
          <w:szCs w:val="22"/>
        </w:rPr>
        <w:t>Promedeus s.r.o.</w:t>
      </w:r>
    </w:p>
    <w:p w14:paraId="5965984A" w14:textId="77777777" w:rsidR="00601D81" w:rsidRPr="00D60BD6" w:rsidRDefault="00601D81" w:rsidP="00601D81">
      <w:pPr>
        <w:jc w:val="both"/>
        <w:rPr>
          <w:rFonts w:ascii="Calibri" w:hAnsi="Calibri" w:cs="Tahoma"/>
          <w:sz w:val="22"/>
          <w:szCs w:val="22"/>
        </w:rPr>
      </w:pPr>
      <w:r w:rsidRPr="00D60BD6">
        <w:rPr>
          <w:rFonts w:ascii="Calibri" w:hAnsi="Calibri" w:cs="Tahoma"/>
          <w:sz w:val="22"/>
          <w:szCs w:val="22"/>
        </w:rPr>
        <w:t xml:space="preserve">se sídlem </w:t>
      </w:r>
      <w:proofErr w:type="gramStart"/>
      <w:r w:rsidRPr="00D60BD6">
        <w:rPr>
          <w:rFonts w:ascii="Calibri" w:hAnsi="Calibri" w:cs="Tahoma"/>
          <w:sz w:val="22"/>
          <w:szCs w:val="22"/>
        </w:rPr>
        <w:t>Brno - Řečkovice</w:t>
      </w:r>
      <w:proofErr w:type="gramEnd"/>
      <w:r w:rsidRPr="00D60BD6">
        <w:rPr>
          <w:rFonts w:ascii="Calibri" w:hAnsi="Calibri" w:cs="Tahoma"/>
          <w:sz w:val="22"/>
          <w:szCs w:val="22"/>
        </w:rPr>
        <w:t>, Maříkova 1899/1, PSČ: 621 00</w:t>
      </w:r>
    </w:p>
    <w:p w14:paraId="299045B9" w14:textId="77777777" w:rsidR="00601D81" w:rsidRPr="00D60BD6" w:rsidRDefault="00601D81" w:rsidP="00601D81">
      <w:pPr>
        <w:jc w:val="both"/>
        <w:rPr>
          <w:rFonts w:ascii="Calibri" w:hAnsi="Calibri" w:cs="Tahoma"/>
          <w:sz w:val="22"/>
          <w:szCs w:val="22"/>
        </w:rPr>
      </w:pPr>
      <w:r w:rsidRPr="00D60BD6">
        <w:rPr>
          <w:rFonts w:ascii="Calibri" w:hAnsi="Calibri" w:cs="Tahoma"/>
          <w:sz w:val="22"/>
          <w:szCs w:val="22"/>
        </w:rPr>
        <w:t>IČ: 04939948, DIČ: CZ04939948</w:t>
      </w:r>
    </w:p>
    <w:p w14:paraId="1ECF80D5" w14:textId="77777777" w:rsidR="00601D81" w:rsidRPr="00D60BD6" w:rsidRDefault="00601D81" w:rsidP="00601D81">
      <w:pPr>
        <w:jc w:val="both"/>
        <w:rPr>
          <w:rFonts w:ascii="Calibri" w:hAnsi="Calibri" w:cs="Tahoma"/>
          <w:sz w:val="22"/>
          <w:szCs w:val="22"/>
        </w:rPr>
      </w:pPr>
      <w:r w:rsidRPr="00D60BD6">
        <w:rPr>
          <w:rFonts w:ascii="Calibri" w:hAnsi="Calibri" w:cs="Tahoma"/>
          <w:sz w:val="22"/>
          <w:szCs w:val="22"/>
        </w:rPr>
        <w:t>zapsaná v obchodním rejstříku vedeném Krajským soudem v Brně, spis. zn. C/92724</w:t>
      </w:r>
    </w:p>
    <w:p w14:paraId="198E2ED1" w14:textId="20A21FDD" w:rsidR="00601D81" w:rsidRPr="0077769F" w:rsidRDefault="00601D81" w:rsidP="00601D81">
      <w:pPr>
        <w:jc w:val="both"/>
        <w:rPr>
          <w:rFonts w:ascii="Calibri" w:hAnsi="Calibri" w:cs="Tahoma"/>
          <w:sz w:val="22"/>
          <w:szCs w:val="22"/>
        </w:rPr>
      </w:pPr>
      <w:r w:rsidRPr="0077769F">
        <w:rPr>
          <w:rFonts w:ascii="Calibri" w:hAnsi="Calibri" w:cs="Tahoma"/>
          <w:sz w:val="22"/>
          <w:szCs w:val="22"/>
        </w:rPr>
        <w:t xml:space="preserve">zastoupená: </w:t>
      </w:r>
      <w:r w:rsidR="00B671CD">
        <w:rPr>
          <w:rFonts w:ascii="Calibri" w:hAnsi="Calibri" w:cs="Tahoma"/>
          <w:sz w:val="22"/>
          <w:szCs w:val="22"/>
        </w:rPr>
        <w:t>XXX</w:t>
      </w:r>
    </w:p>
    <w:p w14:paraId="7EA6CDAE" w14:textId="732C13B3" w:rsidR="00601D81" w:rsidRPr="0077769F" w:rsidRDefault="00601D81" w:rsidP="00601D81">
      <w:pPr>
        <w:jc w:val="both"/>
        <w:rPr>
          <w:rFonts w:ascii="Calibri" w:hAnsi="Calibri" w:cs="Tahoma"/>
          <w:sz w:val="22"/>
          <w:szCs w:val="22"/>
        </w:rPr>
      </w:pPr>
      <w:r w:rsidRPr="0077769F">
        <w:rPr>
          <w:rFonts w:ascii="Calibri" w:hAnsi="Calibri" w:cs="Tahoma"/>
          <w:sz w:val="22"/>
          <w:szCs w:val="22"/>
        </w:rPr>
        <w:t xml:space="preserve">bankovní spojení: </w:t>
      </w:r>
      <w:r w:rsidR="00B671CD">
        <w:rPr>
          <w:rFonts w:ascii="Calibri" w:hAnsi="Calibri" w:cs="Tahoma"/>
          <w:sz w:val="22"/>
          <w:szCs w:val="22"/>
        </w:rPr>
        <w:t>XXX</w:t>
      </w:r>
    </w:p>
    <w:p w14:paraId="602D9088" w14:textId="77777777" w:rsidR="00601D81" w:rsidRPr="0077769F" w:rsidRDefault="00601D81" w:rsidP="00601D81">
      <w:pPr>
        <w:pStyle w:val="Zkladntext"/>
        <w:rPr>
          <w:rFonts w:ascii="Calibri" w:hAnsi="Calibri" w:cs="Tahoma"/>
          <w:sz w:val="22"/>
          <w:szCs w:val="22"/>
        </w:rPr>
      </w:pPr>
      <w:r w:rsidRPr="0077769F">
        <w:rPr>
          <w:rFonts w:ascii="Calibri" w:hAnsi="Calibri" w:cs="Tahoma"/>
          <w:sz w:val="22"/>
          <w:szCs w:val="22"/>
        </w:rPr>
        <w:t>(dále jen „pronajímatel“)</w:t>
      </w:r>
    </w:p>
    <w:p w14:paraId="4F0EA937" w14:textId="77777777" w:rsidR="00601D81" w:rsidRPr="00D60BD6" w:rsidRDefault="00601D81" w:rsidP="00601D81">
      <w:pPr>
        <w:rPr>
          <w:rFonts w:ascii="Calibri" w:hAnsi="Calibri" w:cs="Calibri"/>
          <w:spacing w:val="60"/>
          <w:sz w:val="16"/>
          <w:szCs w:val="16"/>
        </w:rPr>
      </w:pPr>
    </w:p>
    <w:p w14:paraId="007E8DD5" w14:textId="77777777" w:rsidR="00601D81" w:rsidRPr="00D60BD6" w:rsidRDefault="00601D81" w:rsidP="00601D81">
      <w:pPr>
        <w:rPr>
          <w:rFonts w:ascii="Calibri" w:hAnsi="Calibri" w:cs="Calibri"/>
          <w:spacing w:val="60"/>
          <w:sz w:val="22"/>
          <w:szCs w:val="22"/>
        </w:rPr>
      </w:pPr>
      <w:r w:rsidRPr="00D60BD6">
        <w:rPr>
          <w:rFonts w:ascii="Calibri" w:hAnsi="Calibri" w:cs="Calibri"/>
          <w:spacing w:val="60"/>
          <w:sz w:val="22"/>
          <w:szCs w:val="22"/>
        </w:rPr>
        <w:t>a</w:t>
      </w:r>
    </w:p>
    <w:p w14:paraId="1213D89B" w14:textId="77777777" w:rsidR="00601D81" w:rsidRPr="00D60BD6" w:rsidRDefault="00601D81" w:rsidP="00601D81">
      <w:pPr>
        <w:pStyle w:val="Zkladntext"/>
        <w:rPr>
          <w:rFonts w:ascii="Calibri" w:hAnsi="Calibri" w:cs="Calibri"/>
          <w:b/>
          <w:bCs/>
          <w:sz w:val="16"/>
          <w:szCs w:val="16"/>
        </w:rPr>
      </w:pPr>
    </w:p>
    <w:p w14:paraId="1E697CF1" w14:textId="77777777" w:rsidR="00601D81" w:rsidRPr="00D60BD6" w:rsidRDefault="00601D81" w:rsidP="00601D81">
      <w:pPr>
        <w:pStyle w:val="Zkladntext"/>
        <w:rPr>
          <w:rFonts w:ascii="Calibri" w:hAnsi="Calibri" w:cs="Calibri"/>
          <w:b/>
          <w:bCs/>
          <w:sz w:val="22"/>
          <w:szCs w:val="22"/>
        </w:rPr>
      </w:pPr>
      <w:r w:rsidRPr="00D60BD6">
        <w:rPr>
          <w:rFonts w:ascii="Calibri" w:hAnsi="Calibri" w:cs="Calibri"/>
          <w:b/>
          <w:bCs/>
          <w:sz w:val="22"/>
          <w:szCs w:val="22"/>
        </w:rPr>
        <w:t>2. Nájemce:</w:t>
      </w:r>
    </w:p>
    <w:p w14:paraId="4FEAE53B" w14:textId="77777777" w:rsidR="00601D81" w:rsidRPr="00D60BD6" w:rsidRDefault="00601D81" w:rsidP="00601D81">
      <w:pPr>
        <w:pStyle w:val="Zkladntext"/>
        <w:rPr>
          <w:rFonts w:ascii="Calibri" w:hAnsi="Calibri" w:cs="Calibri"/>
          <w:sz w:val="10"/>
          <w:szCs w:val="10"/>
        </w:rPr>
      </w:pPr>
    </w:p>
    <w:p w14:paraId="0168E90F" w14:textId="5784D55C" w:rsidR="00601D81" w:rsidRPr="00D60BD6" w:rsidRDefault="00601D81" w:rsidP="00601D81">
      <w:pPr>
        <w:rPr>
          <w:rFonts w:ascii="Calibri" w:hAnsi="Calibri" w:cs="Tahoma"/>
          <w:b/>
          <w:sz w:val="22"/>
          <w:szCs w:val="22"/>
        </w:rPr>
      </w:pPr>
      <w:r w:rsidRPr="00601D81">
        <w:rPr>
          <w:rFonts w:ascii="Calibri" w:hAnsi="Calibri" w:cs="Tahoma"/>
          <w:b/>
          <w:sz w:val="22"/>
          <w:szCs w:val="22"/>
        </w:rPr>
        <w:t>Fakultní nemocnice Brno</w:t>
      </w:r>
    </w:p>
    <w:p w14:paraId="30C18D5C" w14:textId="1C3DDF4B" w:rsidR="00601D81" w:rsidRPr="00D60BD6" w:rsidRDefault="00601D81" w:rsidP="00601D81">
      <w:pPr>
        <w:rPr>
          <w:rFonts w:ascii="Calibri" w:hAnsi="Calibri" w:cs="Tahoma"/>
          <w:sz w:val="22"/>
          <w:szCs w:val="22"/>
        </w:rPr>
      </w:pPr>
      <w:r w:rsidRPr="00D60BD6">
        <w:rPr>
          <w:rFonts w:ascii="Calibri" w:hAnsi="Calibri" w:cs="Tahoma"/>
          <w:sz w:val="22"/>
          <w:szCs w:val="22"/>
        </w:rPr>
        <w:t xml:space="preserve">se sídlem </w:t>
      </w:r>
      <w:proofErr w:type="gramStart"/>
      <w:r w:rsidRPr="00601D81">
        <w:rPr>
          <w:rFonts w:ascii="Calibri" w:hAnsi="Calibri" w:cs="Tahoma"/>
          <w:sz w:val="22"/>
          <w:szCs w:val="22"/>
        </w:rPr>
        <w:t>Brno - Bohunice</w:t>
      </w:r>
      <w:proofErr w:type="gramEnd"/>
      <w:r w:rsidRPr="00601D81">
        <w:rPr>
          <w:rFonts w:ascii="Calibri" w:hAnsi="Calibri" w:cs="Tahoma"/>
          <w:sz w:val="22"/>
          <w:szCs w:val="22"/>
        </w:rPr>
        <w:t>, Jihlavská 340/20</w:t>
      </w:r>
      <w:r>
        <w:rPr>
          <w:rFonts w:ascii="Calibri" w:hAnsi="Calibri" w:cs="Tahoma"/>
          <w:sz w:val="22"/>
          <w:szCs w:val="22"/>
        </w:rPr>
        <w:t xml:space="preserve">, PSČ: </w:t>
      </w:r>
      <w:r w:rsidRPr="00601D81">
        <w:rPr>
          <w:rFonts w:ascii="Calibri" w:hAnsi="Calibri" w:cs="Tahoma"/>
          <w:sz w:val="22"/>
          <w:szCs w:val="22"/>
        </w:rPr>
        <w:t>62500 </w:t>
      </w:r>
    </w:p>
    <w:p w14:paraId="0C58E302" w14:textId="1C140EB7" w:rsidR="00601D81" w:rsidRPr="00D60BD6" w:rsidRDefault="00601D81" w:rsidP="00601D81">
      <w:pPr>
        <w:rPr>
          <w:rFonts w:ascii="Calibri" w:hAnsi="Calibri" w:cs="Tahoma"/>
          <w:sz w:val="22"/>
          <w:szCs w:val="22"/>
        </w:rPr>
      </w:pPr>
      <w:r w:rsidRPr="00D60BD6">
        <w:rPr>
          <w:rFonts w:ascii="Calibri" w:hAnsi="Calibri" w:cs="Tahoma"/>
          <w:sz w:val="22"/>
          <w:szCs w:val="22"/>
        </w:rPr>
        <w:t xml:space="preserve">IČ: </w:t>
      </w:r>
      <w:r w:rsidRPr="00601D81">
        <w:rPr>
          <w:rFonts w:ascii="Calibri" w:hAnsi="Calibri" w:cs="Tahoma"/>
          <w:sz w:val="22"/>
          <w:szCs w:val="22"/>
        </w:rPr>
        <w:t>65269705</w:t>
      </w:r>
      <w:r w:rsidRPr="00D60BD6">
        <w:rPr>
          <w:rFonts w:ascii="Calibri" w:hAnsi="Calibri" w:cs="Tahoma"/>
          <w:sz w:val="22"/>
          <w:szCs w:val="22"/>
        </w:rPr>
        <w:t xml:space="preserve">, DIČ: </w:t>
      </w:r>
      <w:r w:rsidRPr="00601D81">
        <w:rPr>
          <w:rFonts w:ascii="Calibri" w:hAnsi="Calibri" w:cs="Tahoma"/>
          <w:sz w:val="22"/>
          <w:szCs w:val="22"/>
        </w:rPr>
        <w:t>CZ65269705</w:t>
      </w:r>
    </w:p>
    <w:p w14:paraId="0DAE6ACA" w14:textId="3600AD16" w:rsidR="00601D81" w:rsidRDefault="00601D81" w:rsidP="00601D81">
      <w:pPr>
        <w:pStyle w:val="Zkladntext"/>
        <w:rPr>
          <w:rFonts w:ascii="Calibri" w:hAnsi="Calibri" w:cs="Tahoma"/>
          <w:sz w:val="22"/>
          <w:szCs w:val="22"/>
        </w:rPr>
      </w:pPr>
      <w:r w:rsidRPr="00D60BD6">
        <w:rPr>
          <w:rFonts w:ascii="Calibri" w:hAnsi="Calibri" w:cs="Tahoma"/>
          <w:sz w:val="22"/>
          <w:szCs w:val="22"/>
        </w:rPr>
        <w:t xml:space="preserve">zastoupená: </w:t>
      </w:r>
      <w:r w:rsidR="00B671CD">
        <w:rPr>
          <w:rFonts w:ascii="Calibri" w:hAnsi="Calibri" w:cs="Tahoma"/>
          <w:sz w:val="22"/>
          <w:szCs w:val="22"/>
        </w:rPr>
        <w:t>XXX</w:t>
      </w:r>
    </w:p>
    <w:p w14:paraId="116EE4E9" w14:textId="19EA8D8B" w:rsidR="000D1036" w:rsidRDefault="000D1036" w:rsidP="00601D81">
      <w:pPr>
        <w:pStyle w:val="Zkladntext"/>
        <w:rPr>
          <w:rFonts w:ascii="Calibri" w:hAnsi="Calibri" w:cs="Tahoma"/>
          <w:sz w:val="22"/>
          <w:szCs w:val="22"/>
        </w:rPr>
      </w:pPr>
      <w:r>
        <w:rPr>
          <w:rFonts w:ascii="Calibri" w:hAnsi="Calibri" w:cs="Tahoma"/>
          <w:sz w:val="22"/>
          <w:szCs w:val="22"/>
        </w:rPr>
        <w:t xml:space="preserve">bankovní spojení: </w:t>
      </w:r>
      <w:r w:rsidR="00B671CD">
        <w:rPr>
          <w:rFonts w:ascii="Calibri" w:hAnsi="Calibri" w:cs="Tahoma"/>
          <w:sz w:val="22"/>
          <w:szCs w:val="22"/>
        </w:rPr>
        <w:t>XXX</w:t>
      </w:r>
    </w:p>
    <w:p w14:paraId="1CC5F240" w14:textId="39D0E462" w:rsidR="00601D81" w:rsidRPr="0077769F" w:rsidRDefault="00601D81" w:rsidP="00601D81">
      <w:pPr>
        <w:pStyle w:val="Zkladntext"/>
        <w:rPr>
          <w:rFonts w:ascii="Calibri" w:hAnsi="Calibri" w:cs="Tahoma"/>
          <w:sz w:val="22"/>
          <w:szCs w:val="22"/>
        </w:rPr>
      </w:pPr>
      <w:r w:rsidRPr="00601D81">
        <w:rPr>
          <w:rFonts w:ascii="Calibri" w:hAnsi="Calibri" w:cs="Tahoma"/>
          <w:sz w:val="22"/>
          <w:szCs w:val="22"/>
        </w:rPr>
        <w:t>FN Brno je státní příspěvková organizace zřízená rozhodnutím Ministerstva zdravotnictví. Nemá zákonnou povin</w:t>
      </w:r>
      <w:r w:rsidR="00FD557E">
        <w:rPr>
          <w:rFonts w:ascii="Calibri" w:hAnsi="Calibri" w:cs="Tahoma"/>
          <w:sz w:val="22"/>
          <w:szCs w:val="22"/>
        </w:rPr>
        <w:t>n</w:t>
      </w:r>
      <w:r w:rsidRPr="00601D81">
        <w:rPr>
          <w:rFonts w:ascii="Calibri" w:hAnsi="Calibri" w:cs="Tahoma"/>
          <w:sz w:val="22"/>
          <w:szCs w:val="22"/>
        </w:rPr>
        <w:t>ost zápisu do obchodního rejstříku, je zapsána do živnostenského rejstříku vedeného Živnostenským úřadem města Brna</w:t>
      </w:r>
    </w:p>
    <w:p w14:paraId="77439169" w14:textId="77777777" w:rsidR="00601D81" w:rsidRPr="00D60BD6" w:rsidRDefault="00601D81" w:rsidP="00601D81">
      <w:pPr>
        <w:pStyle w:val="Zkladntext"/>
        <w:rPr>
          <w:rFonts w:ascii="Calibri" w:hAnsi="Calibri" w:cs="Calibri"/>
          <w:sz w:val="22"/>
          <w:szCs w:val="22"/>
        </w:rPr>
      </w:pPr>
      <w:r w:rsidRPr="00D60BD6">
        <w:rPr>
          <w:rFonts w:ascii="Calibri" w:hAnsi="Calibri" w:cs="Calibri"/>
          <w:sz w:val="22"/>
          <w:szCs w:val="22"/>
        </w:rPr>
        <w:t>(dále jen „nájemce“)</w:t>
      </w:r>
    </w:p>
    <w:p w14:paraId="762E54AA" w14:textId="77777777" w:rsidR="00601D81" w:rsidRPr="00D60BD6" w:rsidRDefault="00601D81" w:rsidP="00601D81">
      <w:pPr>
        <w:pStyle w:val="Zkladntext"/>
        <w:rPr>
          <w:rFonts w:ascii="Calibri" w:hAnsi="Calibri" w:cs="Calibri"/>
          <w:sz w:val="16"/>
          <w:szCs w:val="16"/>
        </w:rPr>
      </w:pPr>
    </w:p>
    <w:p w14:paraId="6A72F0C5" w14:textId="77777777" w:rsidR="00601D81" w:rsidRPr="00D60BD6" w:rsidRDefault="00601D81" w:rsidP="00601D81">
      <w:pPr>
        <w:pStyle w:val="Zkladntext"/>
        <w:jc w:val="center"/>
        <w:rPr>
          <w:rFonts w:ascii="Calibri" w:hAnsi="Calibri" w:cs="Calibri"/>
          <w:spacing w:val="60"/>
          <w:sz w:val="22"/>
          <w:szCs w:val="22"/>
        </w:rPr>
      </w:pPr>
      <w:r w:rsidRPr="00D60BD6">
        <w:rPr>
          <w:rFonts w:ascii="Calibri" w:hAnsi="Calibri" w:cs="Calibri"/>
          <w:spacing w:val="60"/>
          <w:sz w:val="22"/>
          <w:szCs w:val="22"/>
        </w:rPr>
        <w:t>takto:</w:t>
      </w:r>
    </w:p>
    <w:p w14:paraId="568BAEE0" w14:textId="77777777" w:rsidR="00601D81" w:rsidRPr="00D60BD6" w:rsidRDefault="00601D81" w:rsidP="00601D81">
      <w:pPr>
        <w:pStyle w:val="Zkladntext"/>
        <w:jc w:val="center"/>
        <w:rPr>
          <w:rFonts w:ascii="Calibri" w:hAnsi="Calibri" w:cs="Calibri"/>
          <w:sz w:val="16"/>
          <w:szCs w:val="16"/>
        </w:rPr>
      </w:pPr>
    </w:p>
    <w:p w14:paraId="47C0A423" w14:textId="77777777" w:rsidR="00601D81" w:rsidRPr="00D60BD6" w:rsidRDefault="00601D81" w:rsidP="00601D81">
      <w:pPr>
        <w:spacing w:before="60" w:after="60"/>
        <w:jc w:val="center"/>
        <w:rPr>
          <w:rFonts w:ascii="Calibri" w:hAnsi="Calibri" w:cs="Calibri"/>
          <w:b/>
          <w:bCs/>
          <w:sz w:val="22"/>
          <w:szCs w:val="22"/>
        </w:rPr>
      </w:pPr>
      <w:r w:rsidRPr="00D60BD6">
        <w:rPr>
          <w:rFonts w:ascii="Calibri" w:hAnsi="Calibri" w:cs="Calibri"/>
          <w:b/>
          <w:bCs/>
          <w:sz w:val="22"/>
          <w:szCs w:val="22"/>
        </w:rPr>
        <w:t>I.</w:t>
      </w:r>
    </w:p>
    <w:p w14:paraId="4465A79C" w14:textId="77777777" w:rsidR="00601D81" w:rsidRPr="00D60BD6" w:rsidRDefault="00601D81" w:rsidP="00601D81">
      <w:pPr>
        <w:spacing w:before="60" w:after="120"/>
        <w:jc w:val="center"/>
        <w:rPr>
          <w:rFonts w:ascii="Calibri" w:hAnsi="Calibri" w:cs="Calibri"/>
          <w:b/>
          <w:bCs/>
          <w:sz w:val="22"/>
          <w:szCs w:val="22"/>
        </w:rPr>
      </w:pPr>
      <w:r w:rsidRPr="00D60BD6">
        <w:rPr>
          <w:rFonts w:ascii="Calibri" w:hAnsi="Calibri" w:cs="Calibri"/>
          <w:b/>
          <w:bCs/>
          <w:sz w:val="22"/>
          <w:szCs w:val="22"/>
        </w:rPr>
        <w:t>Předmět nájmu</w:t>
      </w:r>
    </w:p>
    <w:p w14:paraId="267BA028" w14:textId="77777777" w:rsidR="00601D81" w:rsidRPr="00FD557E" w:rsidRDefault="00601D81" w:rsidP="00601D81">
      <w:pPr>
        <w:numPr>
          <w:ilvl w:val="0"/>
          <w:numId w:val="1"/>
        </w:numPr>
        <w:spacing w:before="60" w:after="120"/>
        <w:ind w:left="357"/>
        <w:jc w:val="both"/>
        <w:rPr>
          <w:rFonts w:ascii="Calibri" w:hAnsi="Calibri" w:cs="Calibri"/>
          <w:sz w:val="22"/>
          <w:szCs w:val="22"/>
        </w:rPr>
      </w:pPr>
      <w:r w:rsidRPr="00D60BD6">
        <w:rPr>
          <w:rFonts w:ascii="Calibri" w:hAnsi="Calibri" w:cs="Calibri"/>
          <w:sz w:val="22"/>
          <w:szCs w:val="22"/>
        </w:rPr>
        <w:t xml:space="preserve">Pronajímatel je vlastníkem </w:t>
      </w:r>
      <w:r w:rsidRPr="00FD557E">
        <w:rPr>
          <w:rFonts w:ascii="Calibri" w:hAnsi="Calibri" w:cs="Calibri"/>
          <w:sz w:val="22"/>
          <w:szCs w:val="22"/>
        </w:rPr>
        <w:t xml:space="preserve">následujícího zařízení: </w:t>
      </w:r>
    </w:p>
    <w:p w14:paraId="532F6347" w14:textId="1D8EC9C0" w:rsidR="00601D81" w:rsidRPr="00FD557E" w:rsidRDefault="00601D81" w:rsidP="00601D81">
      <w:pPr>
        <w:pStyle w:val="Odstavecseseznamem"/>
        <w:numPr>
          <w:ilvl w:val="0"/>
          <w:numId w:val="8"/>
        </w:numPr>
        <w:spacing w:before="60" w:after="120"/>
        <w:jc w:val="both"/>
        <w:rPr>
          <w:rFonts w:ascii="Calibri" w:hAnsi="Calibri" w:cs="Calibri"/>
          <w:sz w:val="22"/>
          <w:szCs w:val="22"/>
        </w:rPr>
      </w:pPr>
      <w:r w:rsidRPr="00FD557E">
        <w:rPr>
          <w:rFonts w:ascii="Calibri" w:hAnsi="Calibri" w:cs="Calibri"/>
          <w:sz w:val="22"/>
          <w:szCs w:val="22"/>
        </w:rPr>
        <w:t xml:space="preserve">1 ks elektrochirurgického generátoru </w:t>
      </w:r>
      <w:r w:rsidRPr="00FD557E">
        <w:rPr>
          <w:rFonts w:ascii="Calibri" w:hAnsi="Calibri" w:cs="Calibri"/>
          <w:b/>
          <w:bCs/>
          <w:sz w:val="22"/>
          <w:szCs w:val="22"/>
        </w:rPr>
        <w:t>ARC 400</w:t>
      </w:r>
      <w:r w:rsidRPr="00FD557E">
        <w:rPr>
          <w:rFonts w:ascii="Calibri" w:hAnsi="Calibri" w:cs="Calibri"/>
          <w:sz w:val="22"/>
          <w:szCs w:val="22"/>
        </w:rPr>
        <w:t>, výr</w:t>
      </w:r>
      <w:r w:rsidR="00225D73" w:rsidRPr="00FD557E">
        <w:rPr>
          <w:rFonts w:ascii="Calibri" w:hAnsi="Calibri" w:cs="Calibri"/>
          <w:sz w:val="22"/>
          <w:szCs w:val="22"/>
        </w:rPr>
        <w:t>.</w:t>
      </w:r>
      <w:r w:rsidRPr="00FD557E">
        <w:rPr>
          <w:rFonts w:ascii="Calibri" w:hAnsi="Calibri" w:cs="Calibri"/>
          <w:sz w:val="22"/>
          <w:szCs w:val="22"/>
        </w:rPr>
        <w:t xml:space="preserve"> č</w:t>
      </w:r>
      <w:r w:rsidR="00225D73" w:rsidRPr="00FD557E">
        <w:rPr>
          <w:rFonts w:ascii="Calibri" w:hAnsi="Calibri" w:cs="Calibri"/>
          <w:sz w:val="22"/>
          <w:szCs w:val="22"/>
        </w:rPr>
        <w:t>.</w:t>
      </w:r>
      <w:r w:rsidRPr="00FD557E">
        <w:rPr>
          <w:rFonts w:ascii="Calibri" w:hAnsi="Calibri" w:cs="Calibri"/>
          <w:sz w:val="22"/>
          <w:szCs w:val="22"/>
        </w:rPr>
        <w:t xml:space="preserve"> bude uvedeno na předávacím protokolu, </w:t>
      </w:r>
    </w:p>
    <w:p w14:paraId="7AE54B3D" w14:textId="4F7B1EB8" w:rsidR="00601D81" w:rsidRPr="00FD557E" w:rsidRDefault="00225D73" w:rsidP="00601D81">
      <w:pPr>
        <w:pStyle w:val="Odstavecseseznamem"/>
        <w:numPr>
          <w:ilvl w:val="0"/>
          <w:numId w:val="8"/>
        </w:numPr>
        <w:spacing w:before="60" w:after="120"/>
        <w:jc w:val="both"/>
        <w:rPr>
          <w:rFonts w:ascii="Calibri" w:hAnsi="Calibri" w:cs="Calibri"/>
          <w:sz w:val="22"/>
          <w:szCs w:val="22"/>
        </w:rPr>
      </w:pPr>
      <w:r w:rsidRPr="00FD557E">
        <w:rPr>
          <w:rFonts w:ascii="Calibri" w:hAnsi="Calibri" w:cs="Calibri"/>
          <w:sz w:val="22"/>
          <w:szCs w:val="22"/>
        </w:rPr>
        <w:t>n</w:t>
      </w:r>
      <w:r w:rsidR="00601D81" w:rsidRPr="00FD557E">
        <w:rPr>
          <w:rFonts w:ascii="Calibri" w:hAnsi="Calibri" w:cs="Calibri"/>
          <w:sz w:val="22"/>
          <w:szCs w:val="22"/>
        </w:rPr>
        <w:t>ožní spínač se dvěma pedály a přepínacím tlačítkem, kabel 4 m, s madlem</w:t>
      </w:r>
    </w:p>
    <w:p w14:paraId="78B7B5A6" w14:textId="29EADB83" w:rsidR="00601D81" w:rsidRPr="00FD557E" w:rsidRDefault="00225D73" w:rsidP="00601D81">
      <w:pPr>
        <w:pStyle w:val="Odstavecseseznamem"/>
        <w:numPr>
          <w:ilvl w:val="0"/>
          <w:numId w:val="8"/>
        </w:numPr>
        <w:autoSpaceDE w:val="0"/>
        <w:autoSpaceDN w:val="0"/>
        <w:adjustRightInd w:val="0"/>
        <w:spacing w:before="60" w:after="120"/>
        <w:jc w:val="both"/>
        <w:rPr>
          <w:rFonts w:ascii="Calibri" w:hAnsi="Calibri" w:cs="Calibri"/>
          <w:sz w:val="22"/>
          <w:szCs w:val="22"/>
        </w:rPr>
      </w:pPr>
      <w:r w:rsidRPr="00FD557E">
        <w:rPr>
          <w:rFonts w:ascii="Calibri" w:hAnsi="Calibri" w:cs="Calibri"/>
          <w:sz w:val="22"/>
          <w:szCs w:val="22"/>
        </w:rPr>
        <w:t>k</w:t>
      </w:r>
      <w:r w:rsidR="00601D81" w:rsidRPr="00FD557E">
        <w:rPr>
          <w:rFonts w:ascii="Calibri" w:hAnsi="Calibri" w:cs="Calibri"/>
          <w:sz w:val="22"/>
          <w:szCs w:val="22"/>
        </w:rPr>
        <w:t xml:space="preserve">abel 4,5 m pro jednorázové neutrální elektrody, </w:t>
      </w:r>
      <w:proofErr w:type="spellStart"/>
      <w:r w:rsidR="00601D81" w:rsidRPr="00FD557E">
        <w:rPr>
          <w:rFonts w:ascii="Calibri" w:hAnsi="Calibri" w:cs="Calibri"/>
          <w:sz w:val="22"/>
          <w:szCs w:val="22"/>
        </w:rPr>
        <w:t>Valleylab</w:t>
      </w:r>
      <w:proofErr w:type="spellEnd"/>
      <w:r w:rsidR="00601D81" w:rsidRPr="00FD557E">
        <w:rPr>
          <w:rFonts w:ascii="Calibri" w:hAnsi="Calibri" w:cs="Calibri"/>
          <w:sz w:val="22"/>
          <w:szCs w:val="22"/>
        </w:rPr>
        <w:t xml:space="preserve">, </w:t>
      </w:r>
      <w:proofErr w:type="spellStart"/>
      <w:r w:rsidR="00601D81" w:rsidRPr="00FD557E">
        <w:rPr>
          <w:rFonts w:ascii="Calibri" w:hAnsi="Calibri" w:cs="Calibri"/>
          <w:sz w:val="22"/>
          <w:szCs w:val="22"/>
        </w:rPr>
        <w:t>Bowa</w:t>
      </w:r>
      <w:proofErr w:type="spellEnd"/>
      <w:r w:rsidR="00601D81" w:rsidRPr="00FD557E">
        <w:rPr>
          <w:rFonts w:ascii="Calibri" w:hAnsi="Calibri" w:cs="Calibri"/>
          <w:sz w:val="22"/>
          <w:szCs w:val="22"/>
        </w:rPr>
        <w:t xml:space="preserve">, s kolíčkem, </w:t>
      </w:r>
    </w:p>
    <w:p w14:paraId="3A63C529" w14:textId="77777777" w:rsidR="00475657" w:rsidRDefault="00601D81" w:rsidP="00601D81">
      <w:pPr>
        <w:autoSpaceDE w:val="0"/>
        <w:autoSpaceDN w:val="0"/>
        <w:adjustRightInd w:val="0"/>
        <w:spacing w:before="60" w:after="120"/>
        <w:ind w:left="357"/>
        <w:jc w:val="both"/>
        <w:rPr>
          <w:rFonts w:ascii="Calibri" w:hAnsi="Calibri" w:cs="Calibri"/>
          <w:sz w:val="22"/>
          <w:szCs w:val="22"/>
        </w:rPr>
      </w:pPr>
      <w:r w:rsidRPr="00FD557E">
        <w:rPr>
          <w:rFonts w:ascii="Calibri" w:hAnsi="Calibri" w:cs="Calibri"/>
          <w:sz w:val="22"/>
          <w:szCs w:val="22"/>
        </w:rPr>
        <w:t xml:space="preserve">(vše dále jen „předmět nájmu“). </w:t>
      </w:r>
    </w:p>
    <w:p w14:paraId="0ADBDDCC" w14:textId="33ED8713" w:rsidR="00601D81" w:rsidRPr="00601D81" w:rsidRDefault="00601D81" w:rsidP="00601D81">
      <w:pPr>
        <w:autoSpaceDE w:val="0"/>
        <w:autoSpaceDN w:val="0"/>
        <w:adjustRightInd w:val="0"/>
        <w:spacing w:before="60" w:after="120"/>
        <w:ind w:left="357"/>
        <w:jc w:val="both"/>
        <w:rPr>
          <w:rFonts w:ascii="Calibri" w:hAnsi="Calibri" w:cs="Calibri"/>
          <w:sz w:val="22"/>
          <w:szCs w:val="22"/>
        </w:rPr>
      </w:pPr>
      <w:r w:rsidRPr="00FD557E">
        <w:rPr>
          <w:rFonts w:ascii="Calibri" w:hAnsi="Calibri" w:cs="Calibri"/>
          <w:sz w:val="22"/>
          <w:szCs w:val="22"/>
        </w:rPr>
        <w:t>Hodnota předmětu nájmu činí 667 389,- Kč bez DPH</w:t>
      </w:r>
      <w:r w:rsidR="00475657">
        <w:rPr>
          <w:rFonts w:ascii="Calibri" w:hAnsi="Calibri" w:cs="Calibri"/>
          <w:sz w:val="22"/>
          <w:szCs w:val="22"/>
        </w:rPr>
        <w:t>, tj. 807 541,- Kč vč. DPH</w:t>
      </w:r>
      <w:r w:rsidRPr="00FD557E">
        <w:rPr>
          <w:rFonts w:ascii="Calibri" w:hAnsi="Calibri" w:cs="Calibri"/>
          <w:sz w:val="22"/>
          <w:szCs w:val="22"/>
        </w:rPr>
        <w:t>.</w:t>
      </w:r>
    </w:p>
    <w:p w14:paraId="2FD89195" w14:textId="77777777" w:rsidR="00601D81" w:rsidRPr="00D60BD6" w:rsidRDefault="00601D81" w:rsidP="00601D81">
      <w:pPr>
        <w:numPr>
          <w:ilvl w:val="0"/>
          <w:numId w:val="1"/>
        </w:numPr>
        <w:spacing w:before="60" w:after="60"/>
        <w:jc w:val="both"/>
        <w:rPr>
          <w:rFonts w:ascii="Calibri" w:hAnsi="Calibri" w:cs="Calibri"/>
          <w:sz w:val="22"/>
          <w:szCs w:val="22"/>
        </w:rPr>
      </w:pPr>
      <w:r w:rsidRPr="00D60BD6">
        <w:rPr>
          <w:rFonts w:ascii="Calibri" w:hAnsi="Calibri" w:cs="Calibri"/>
          <w:sz w:val="22"/>
          <w:szCs w:val="22"/>
        </w:rPr>
        <w:t xml:space="preserve">Pronajímatel touto smlouvou pronajímá předmět nájmu uvedený v předchozím bodě nájemci, aby jej užíval po dobu stanovenou v této smlouvě pro zdravotnické účely. </w:t>
      </w:r>
    </w:p>
    <w:p w14:paraId="2255DCFE" w14:textId="77777777" w:rsidR="00601D81" w:rsidRPr="00D60BD6" w:rsidRDefault="00601D81" w:rsidP="00601D81">
      <w:pPr>
        <w:numPr>
          <w:ilvl w:val="0"/>
          <w:numId w:val="1"/>
        </w:numPr>
        <w:spacing w:before="60" w:after="60"/>
        <w:jc w:val="both"/>
        <w:rPr>
          <w:rFonts w:ascii="Calibri" w:hAnsi="Calibri" w:cs="Calibri"/>
          <w:sz w:val="22"/>
          <w:szCs w:val="22"/>
        </w:rPr>
      </w:pPr>
      <w:r w:rsidRPr="00D60BD6">
        <w:rPr>
          <w:rFonts w:ascii="Calibri" w:hAnsi="Calibri" w:cs="Calibri"/>
          <w:sz w:val="22"/>
          <w:szCs w:val="22"/>
        </w:rPr>
        <w:t>Nájemce se zavazuje užívat předmět nájmu ke stanovenému účelu a platit pronajímateli nájemné dle ustanovení této smlouvy.</w:t>
      </w:r>
    </w:p>
    <w:p w14:paraId="530BCA46" w14:textId="77777777" w:rsidR="00601D81" w:rsidRPr="00D60BD6" w:rsidRDefault="00601D81" w:rsidP="00601D81">
      <w:pPr>
        <w:rPr>
          <w:rFonts w:ascii="Calibri" w:hAnsi="Calibri" w:cs="Calibri"/>
          <w:b/>
          <w:bCs/>
          <w:sz w:val="16"/>
          <w:szCs w:val="16"/>
        </w:rPr>
      </w:pPr>
    </w:p>
    <w:p w14:paraId="065BBCA5" w14:textId="77777777" w:rsidR="00601D81" w:rsidRPr="00D60BD6" w:rsidRDefault="00601D81" w:rsidP="00601D81">
      <w:pPr>
        <w:jc w:val="center"/>
        <w:rPr>
          <w:rFonts w:ascii="Calibri" w:hAnsi="Calibri" w:cs="Calibri"/>
          <w:b/>
          <w:bCs/>
          <w:sz w:val="22"/>
          <w:szCs w:val="22"/>
        </w:rPr>
      </w:pPr>
      <w:r w:rsidRPr="00D60BD6">
        <w:rPr>
          <w:rFonts w:ascii="Calibri" w:hAnsi="Calibri" w:cs="Calibri"/>
          <w:b/>
          <w:bCs/>
          <w:sz w:val="22"/>
          <w:szCs w:val="22"/>
        </w:rPr>
        <w:t>II.</w:t>
      </w:r>
    </w:p>
    <w:p w14:paraId="0860B7EC" w14:textId="77777777" w:rsidR="00601D81" w:rsidRPr="00D60BD6" w:rsidRDefault="00601D81" w:rsidP="00601D81">
      <w:pPr>
        <w:spacing w:after="120"/>
        <w:jc w:val="center"/>
        <w:rPr>
          <w:rFonts w:ascii="Calibri" w:hAnsi="Calibri" w:cs="Calibri"/>
          <w:b/>
          <w:bCs/>
          <w:sz w:val="22"/>
          <w:szCs w:val="22"/>
        </w:rPr>
      </w:pPr>
      <w:r w:rsidRPr="00D60BD6">
        <w:rPr>
          <w:rFonts w:ascii="Calibri" w:hAnsi="Calibri" w:cs="Calibri"/>
          <w:b/>
          <w:bCs/>
          <w:sz w:val="22"/>
          <w:szCs w:val="22"/>
        </w:rPr>
        <w:t>Doba nájmu</w:t>
      </w:r>
    </w:p>
    <w:p w14:paraId="017C9222" w14:textId="41BF8F9E" w:rsidR="00601D81" w:rsidRPr="00D60BD6" w:rsidRDefault="00601D81" w:rsidP="00601D81">
      <w:pPr>
        <w:numPr>
          <w:ilvl w:val="0"/>
          <w:numId w:val="2"/>
        </w:numPr>
        <w:spacing w:before="60" w:after="60"/>
        <w:jc w:val="both"/>
        <w:rPr>
          <w:rFonts w:ascii="Calibri" w:hAnsi="Calibri" w:cs="Calibri"/>
          <w:sz w:val="22"/>
          <w:szCs w:val="22"/>
        </w:rPr>
      </w:pPr>
      <w:r w:rsidRPr="00D60BD6">
        <w:rPr>
          <w:rFonts w:ascii="Calibri" w:hAnsi="Calibri" w:cs="Calibri"/>
          <w:sz w:val="22"/>
          <w:szCs w:val="22"/>
        </w:rPr>
        <w:t xml:space="preserve">K předání předmětu nájmu a jeho převzetí </w:t>
      </w:r>
      <w:r w:rsidRPr="00FD557E">
        <w:rPr>
          <w:rFonts w:ascii="Calibri" w:hAnsi="Calibri" w:cs="Calibri"/>
          <w:sz w:val="22"/>
          <w:szCs w:val="22"/>
        </w:rPr>
        <w:t xml:space="preserve">dojde nejpozději do </w:t>
      </w:r>
      <w:r w:rsidR="00D411C4">
        <w:rPr>
          <w:rFonts w:ascii="Calibri" w:hAnsi="Calibri" w:cs="Calibri"/>
          <w:sz w:val="22"/>
          <w:szCs w:val="22"/>
        </w:rPr>
        <w:t>5</w:t>
      </w:r>
      <w:r w:rsidRPr="00FD557E">
        <w:rPr>
          <w:rFonts w:ascii="Calibri" w:hAnsi="Calibri" w:cs="Calibri"/>
          <w:sz w:val="22"/>
          <w:szCs w:val="22"/>
        </w:rPr>
        <w:t xml:space="preserve"> dnů od </w:t>
      </w:r>
      <w:r w:rsidR="00573167">
        <w:rPr>
          <w:rFonts w:ascii="Calibri" w:hAnsi="Calibri" w:cs="Calibri"/>
          <w:sz w:val="22"/>
          <w:szCs w:val="22"/>
        </w:rPr>
        <w:t>nabytí účinnosti</w:t>
      </w:r>
      <w:r w:rsidR="00573167" w:rsidRPr="00FD557E">
        <w:rPr>
          <w:rFonts w:ascii="Calibri" w:hAnsi="Calibri" w:cs="Calibri"/>
          <w:sz w:val="22"/>
          <w:szCs w:val="22"/>
        </w:rPr>
        <w:t xml:space="preserve"> </w:t>
      </w:r>
      <w:r w:rsidRPr="00FD557E">
        <w:rPr>
          <w:rFonts w:ascii="Calibri" w:hAnsi="Calibri" w:cs="Calibri"/>
          <w:sz w:val="22"/>
          <w:szCs w:val="22"/>
        </w:rPr>
        <w:t>této smlouvy v sídle nájemce uvedeném v záhlaví této smlouvy,</w:t>
      </w:r>
      <w:r w:rsidR="00225D73" w:rsidRPr="00FD557E">
        <w:rPr>
          <w:rFonts w:ascii="Calibri" w:hAnsi="Calibri" w:cs="Calibri"/>
          <w:sz w:val="22"/>
          <w:szCs w:val="22"/>
        </w:rPr>
        <w:t xml:space="preserve"> na Klinice popálenin a plastické chirurgie</w:t>
      </w:r>
      <w:r w:rsidR="009642B0">
        <w:rPr>
          <w:rFonts w:ascii="Calibri" w:hAnsi="Calibri" w:cs="Calibri"/>
          <w:sz w:val="22"/>
          <w:szCs w:val="22"/>
        </w:rPr>
        <w:t xml:space="preserve"> (NS </w:t>
      </w:r>
      <w:r w:rsidR="00DC53B4">
        <w:rPr>
          <w:rFonts w:ascii="Calibri" w:hAnsi="Calibri" w:cs="Calibri"/>
          <w:sz w:val="22"/>
          <w:szCs w:val="22"/>
        </w:rPr>
        <w:t>4780</w:t>
      </w:r>
      <w:r w:rsidR="009642B0">
        <w:rPr>
          <w:rFonts w:ascii="Calibri" w:hAnsi="Calibri" w:cs="Calibri"/>
          <w:sz w:val="22"/>
          <w:szCs w:val="22"/>
        </w:rPr>
        <w:t>, IÚ 2437)</w:t>
      </w:r>
      <w:r w:rsidR="00225D73" w:rsidRPr="00FD557E">
        <w:rPr>
          <w:rFonts w:ascii="Calibri" w:hAnsi="Calibri" w:cs="Calibri"/>
          <w:sz w:val="22"/>
          <w:szCs w:val="22"/>
        </w:rPr>
        <w:t>,</w:t>
      </w:r>
      <w:r w:rsidRPr="00FD557E">
        <w:rPr>
          <w:rFonts w:ascii="Calibri" w:hAnsi="Calibri" w:cs="Calibri"/>
          <w:sz w:val="22"/>
          <w:szCs w:val="22"/>
        </w:rPr>
        <w:t xml:space="preserve"> kde</w:t>
      </w:r>
      <w:r w:rsidRPr="00D60BD6">
        <w:rPr>
          <w:rFonts w:ascii="Calibri" w:hAnsi="Calibri" w:cs="Calibri"/>
          <w:sz w:val="22"/>
          <w:szCs w:val="22"/>
        </w:rPr>
        <w:t xml:space="preserve"> předmět nájmu přev</w:t>
      </w:r>
      <w:r>
        <w:rPr>
          <w:rFonts w:ascii="Calibri" w:hAnsi="Calibri" w:cs="Calibri"/>
          <w:sz w:val="22"/>
          <w:szCs w:val="22"/>
        </w:rPr>
        <w:t xml:space="preserve">ezme </w:t>
      </w:r>
      <w:r w:rsidRPr="00D60BD6">
        <w:rPr>
          <w:rFonts w:ascii="Calibri" w:hAnsi="Calibri" w:cs="Calibri"/>
          <w:sz w:val="22"/>
          <w:szCs w:val="22"/>
        </w:rPr>
        <w:t>pověřený pracovník podpisem předávacího protokolu.</w:t>
      </w:r>
    </w:p>
    <w:p w14:paraId="22FEDB13" w14:textId="77777777" w:rsidR="00601D81" w:rsidRPr="00D60BD6" w:rsidRDefault="00601D81" w:rsidP="00601D81">
      <w:pPr>
        <w:numPr>
          <w:ilvl w:val="0"/>
          <w:numId w:val="2"/>
        </w:numPr>
        <w:spacing w:before="60" w:after="60"/>
        <w:jc w:val="both"/>
        <w:rPr>
          <w:rFonts w:ascii="Calibri" w:hAnsi="Calibri" w:cs="Calibri"/>
          <w:sz w:val="22"/>
          <w:szCs w:val="22"/>
        </w:rPr>
      </w:pPr>
      <w:r w:rsidRPr="00D60BD6">
        <w:rPr>
          <w:rFonts w:ascii="Calibri" w:hAnsi="Calibri" w:cs="Calibri"/>
          <w:sz w:val="22"/>
          <w:szCs w:val="22"/>
        </w:rPr>
        <w:t>K vrácení předmětu nájmu dojde ve stejném místě jako v předchozím odstavci. Předmět nájmu musí být pronajímateli vrácen ve stavu, v jakém byl nájemcem převzat, s přihlédnutím k obvyklému opotřebení.</w:t>
      </w:r>
    </w:p>
    <w:p w14:paraId="26272EA3" w14:textId="5C190198" w:rsidR="00601D81" w:rsidRPr="00D60BD6" w:rsidRDefault="00601D81" w:rsidP="00601D81">
      <w:pPr>
        <w:numPr>
          <w:ilvl w:val="0"/>
          <w:numId w:val="2"/>
        </w:numPr>
        <w:spacing w:before="60" w:after="60"/>
        <w:jc w:val="both"/>
        <w:rPr>
          <w:rFonts w:ascii="Calibri" w:hAnsi="Calibri" w:cs="Calibri"/>
          <w:sz w:val="22"/>
          <w:szCs w:val="22"/>
        </w:rPr>
      </w:pPr>
      <w:r w:rsidRPr="00FD557E">
        <w:rPr>
          <w:rFonts w:ascii="Calibri" w:hAnsi="Calibri" w:cs="Calibri"/>
          <w:sz w:val="22"/>
          <w:szCs w:val="22"/>
        </w:rPr>
        <w:lastRenderedPageBreak/>
        <w:t xml:space="preserve">Doba nájmu se sjednává </w:t>
      </w:r>
      <w:r w:rsidRPr="00FD557E">
        <w:rPr>
          <w:rFonts w:ascii="Calibri" w:hAnsi="Calibri" w:cs="Calibri"/>
          <w:b/>
          <w:bCs/>
          <w:sz w:val="22"/>
          <w:szCs w:val="22"/>
        </w:rPr>
        <w:t>do 31.12.2023</w:t>
      </w:r>
      <w:r w:rsidRPr="00FD557E">
        <w:rPr>
          <w:rFonts w:ascii="Calibri" w:hAnsi="Calibri" w:cs="Calibri"/>
          <w:sz w:val="22"/>
          <w:szCs w:val="22"/>
        </w:rPr>
        <w:t xml:space="preserve"> počí</w:t>
      </w:r>
      <w:r w:rsidRPr="00D60BD6">
        <w:rPr>
          <w:rFonts w:ascii="Calibri" w:hAnsi="Calibri" w:cs="Calibri"/>
          <w:sz w:val="22"/>
          <w:szCs w:val="22"/>
        </w:rPr>
        <w:t xml:space="preserve">naje dnem </w:t>
      </w:r>
      <w:r w:rsidR="00D411C4">
        <w:rPr>
          <w:rFonts w:ascii="Calibri" w:hAnsi="Calibri" w:cs="Calibri"/>
          <w:sz w:val="22"/>
          <w:szCs w:val="22"/>
        </w:rPr>
        <w:t>nabytí účinnosti této smlouvy</w:t>
      </w:r>
      <w:r w:rsidRPr="00D60BD6">
        <w:rPr>
          <w:rFonts w:ascii="Calibri" w:hAnsi="Calibri" w:cs="Calibri"/>
          <w:sz w:val="22"/>
          <w:szCs w:val="22"/>
        </w:rPr>
        <w:t xml:space="preserve">. </w:t>
      </w:r>
    </w:p>
    <w:p w14:paraId="606DBA40" w14:textId="77777777" w:rsidR="00225D73" w:rsidRPr="00D60BD6" w:rsidRDefault="00225D73" w:rsidP="00601D81">
      <w:pPr>
        <w:spacing w:before="60" w:after="60"/>
        <w:ind w:left="360"/>
        <w:jc w:val="both"/>
        <w:rPr>
          <w:rFonts w:ascii="Calibri" w:hAnsi="Calibri" w:cs="Calibri"/>
          <w:sz w:val="16"/>
          <w:szCs w:val="16"/>
        </w:rPr>
      </w:pPr>
    </w:p>
    <w:p w14:paraId="32883316" w14:textId="77777777" w:rsidR="00601D81" w:rsidRPr="00D60BD6" w:rsidRDefault="00601D81" w:rsidP="00601D81">
      <w:pPr>
        <w:jc w:val="center"/>
        <w:rPr>
          <w:rFonts w:ascii="Calibri" w:hAnsi="Calibri" w:cs="Calibri"/>
          <w:b/>
          <w:bCs/>
          <w:sz w:val="22"/>
          <w:szCs w:val="22"/>
        </w:rPr>
      </w:pPr>
      <w:r w:rsidRPr="00D60BD6">
        <w:rPr>
          <w:rFonts w:ascii="Calibri" w:hAnsi="Calibri" w:cs="Calibri"/>
          <w:b/>
          <w:bCs/>
          <w:sz w:val="22"/>
          <w:szCs w:val="22"/>
        </w:rPr>
        <w:t>III.</w:t>
      </w:r>
    </w:p>
    <w:p w14:paraId="2E1C8EC9" w14:textId="77777777" w:rsidR="00601D81" w:rsidRPr="00D60BD6" w:rsidRDefault="00601D81" w:rsidP="00601D81">
      <w:pPr>
        <w:pStyle w:val="Nadpis2"/>
        <w:spacing w:after="120"/>
        <w:rPr>
          <w:rFonts w:ascii="Calibri" w:hAnsi="Calibri" w:cs="Calibri"/>
          <w:sz w:val="22"/>
          <w:szCs w:val="22"/>
        </w:rPr>
      </w:pPr>
      <w:r w:rsidRPr="00D60BD6">
        <w:rPr>
          <w:rFonts w:ascii="Calibri" w:hAnsi="Calibri" w:cs="Calibri"/>
          <w:sz w:val="22"/>
          <w:szCs w:val="22"/>
        </w:rPr>
        <w:t>Nájemné</w:t>
      </w:r>
    </w:p>
    <w:p w14:paraId="189E8CEA" w14:textId="5F0F6CA3" w:rsidR="00601D81" w:rsidRPr="00D60BD6" w:rsidRDefault="00601D81" w:rsidP="00601D81">
      <w:pPr>
        <w:pStyle w:val="Zkladntext"/>
        <w:numPr>
          <w:ilvl w:val="0"/>
          <w:numId w:val="7"/>
        </w:numPr>
        <w:spacing w:before="60" w:after="60"/>
        <w:rPr>
          <w:rFonts w:ascii="Calibri" w:hAnsi="Calibri" w:cs="Calibri"/>
          <w:sz w:val="22"/>
          <w:szCs w:val="22"/>
        </w:rPr>
      </w:pPr>
      <w:r w:rsidRPr="00D60BD6">
        <w:rPr>
          <w:rFonts w:ascii="Calibri" w:hAnsi="Calibri" w:cs="Calibri"/>
          <w:sz w:val="22"/>
          <w:szCs w:val="22"/>
        </w:rPr>
        <w:t>Nájemné se sjednává mezi smluvními stranami dohodou</w:t>
      </w:r>
      <w:r w:rsidRPr="00FD557E">
        <w:rPr>
          <w:rFonts w:ascii="Calibri" w:hAnsi="Calibri" w:cs="Calibri"/>
          <w:sz w:val="22"/>
          <w:szCs w:val="22"/>
        </w:rPr>
        <w:t xml:space="preserve">. Výše měsíčního nájemného za předmět nájmu činí </w:t>
      </w:r>
      <w:r w:rsidRPr="00FD557E">
        <w:rPr>
          <w:rFonts w:ascii="Calibri" w:hAnsi="Calibri" w:cs="Calibri"/>
          <w:b/>
          <w:sz w:val="22"/>
          <w:szCs w:val="22"/>
        </w:rPr>
        <w:t>20 000,- Kč bez DPH</w:t>
      </w:r>
      <w:r w:rsidRPr="00FD557E">
        <w:rPr>
          <w:rFonts w:ascii="Calibri" w:hAnsi="Calibri" w:cs="Calibri"/>
          <w:sz w:val="22"/>
          <w:szCs w:val="22"/>
        </w:rPr>
        <w:t xml:space="preserve"> (slovy: dvacet tisíc korun českých bez DPH). K nájemnému</w:t>
      </w:r>
      <w:r w:rsidRPr="00D60BD6">
        <w:rPr>
          <w:rFonts w:ascii="Calibri" w:hAnsi="Calibri" w:cs="Calibri"/>
          <w:sz w:val="22"/>
          <w:szCs w:val="22"/>
        </w:rPr>
        <w:t xml:space="preserve"> přičte pronajímatel DPH dle platné zákonné sazby platné v den uskutečnění zdanitelného plnění.</w:t>
      </w:r>
    </w:p>
    <w:p w14:paraId="1590A2F6" w14:textId="5192A77C" w:rsidR="00601D81" w:rsidRDefault="00601D81" w:rsidP="00601D81">
      <w:pPr>
        <w:pStyle w:val="Zkladntext"/>
        <w:numPr>
          <w:ilvl w:val="0"/>
          <w:numId w:val="7"/>
        </w:numPr>
        <w:spacing w:before="60" w:after="60"/>
        <w:rPr>
          <w:rFonts w:ascii="Calibri" w:hAnsi="Calibri" w:cs="Calibri"/>
          <w:sz w:val="22"/>
          <w:szCs w:val="22"/>
        </w:rPr>
      </w:pPr>
      <w:r w:rsidRPr="00D60BD6">
        <w:rPr>
          <w:rFonts w:ascii="Calibri" w:hAnsi="Calibri" w:cs="Calibri"/>
          <w:sz w:val="22"/>
          <w:szCs w:val="22"/>
        </w:rPr>
        <w:t xml:space="preserve">Dnem uskutečnění zdanitelného plnění bude vždy první den kalendářního </w:t>
      </w:r>
      <w:proofErr w:type="gramStart"/>
      <w:r w:rsidRPr="00D60BD6">
        <w:rPr>
          <w:rFonts w:ascii="Calibri" w:hAnsi="Calibri" w:cs="Calibri"/>
          <w:sz w:val="22"/>
          <w:szCs w:val="22"/>
        </w:rPr>
        <w:t>měsíce</w:t>
      </w:r>
      <w:r w:rsidR="00E87594">
        <w:rPr>
          <w:rFonts w:ascii="Calibri" w:hAnsi="Calibri" w:cs="Calibri"/>
          <w:sz w:val="22"/>
          <w:szCs w:val="22"/>
        </w:rPr>
        <w:t xml:space="preserve"> ,za</w:t>
      </w:r>
      <w:proofErr w:type="gramEnd"/>
      <w:r w:rsidR="00E87594">
        <w:rPr>
          <w:rFonts w:ascii="Calibri" w:hAnsi="Calibri" w:cs="Calibri"/>
          <w:sz w:val="22"/>
          <w:szCs w:val="22"/>
        </w:rPr>
        <w:t xml:space="preserve"> který bude plnění dle této smlouvy fakturováno. </w:t>
      </w:r>
      <w:r w:rsidRPr="00D60BD6">
        <w:rPr>
          <w:rFonts w:ascii="Calibri" w:hAnsi="Calibri" w:cs="Calibri"/>
          <w:sz w:val="22"/>
          <w:szCs w:val="22"/>
        </w:rPr>
        <w:t xml:space="preserve">Pronajímatel je povinen nejpozději do </w:t>
      </w:r>
      <w:proofErr w:type="gramStart"/>
      <w:r w:rsidRPr="00D60BD6">
        <w:rPr>
          <w:rFonts w:ascii="Calibri" w:hAnsi="Calibri" w:cs="Calibri"/>
          <w:sz w:val="22"/>
          <w:szCs w:val="22"/>
        </w:rPr>
        <w:t>5ti</w:t>
      </w:r>
      <w:proofErr w:type="gramEnd"/>
      <w:r w:rsidRPr="00D60BD6">
        <w:rPr>
          <w:rFonts w:ascii="Calibri" w:hAnsi="Calibri" w:cs="Calibri"/>
          <w:sz w:val="22"/>
          <w:szCs w:val="22"/>
        </w:rPr>
        <w:t xml:space="preserve"> dnů ode dne uskutečnění </w:t>
      </w:r>
      <w:r w:rsidRPr="00FD557E">
        <w:rPr>
          <w:rFonts w:ascii="Calibri" w:hAnsi="Calibri" w:cs="Calibri"/>
          <w:sz w:val="22"/>
          <w:szCs w:val="22"/>
        </w:rPr>
        <w:t xml:space="preserve">zdanitelného plnění vystavit fakturu – daňový doklad a nájemce je povinen nájemné zaplatit na základě řádně vystavené faktury s náležitostmi daňového dokladu. Faktura bude </w:t>
      </w:r>
      <w:proofErr w:type="gramStart"/>
      <w:r w:rsidRPr="00FD557E">
        <w:rPr>
          <w:rFonts w:ascii="Calibri" w:hAnsi="Calibri" w:cs="Calibri"/>
          <w:sz w:val="22"/>
          <w:szCs w:val="22"/>
        </w:rPr>
        <w:t xml:space="preserve">splatná  </w:t>
      </w:r>
      <w:r w:rsidR="00E87594">
        <w:rPr>
          <w:rFonts w:ascii="Calibri" w:hAnsi="Calibri" w:cs="Calibri"/>
          <w:sz w:val="22"/>
          <w:szCs w:val="22"/>
        </w:rPr>
        <w:t>60</w:t>
      </w:r>
      <w:proofErr w:type="gramEnd"/>
      <w:r w:rsidRPr="00FD557E">
        <w:rPr>
          <w:rFonts w:ascii="Calibri" w:hAnsi="Calibri" w:cs="Calibri"/>
          <w:sz w:val="22"/>
          <w:szCs w:val="22"/>
        </w:rPr>
        <w:t xml:space="preserve"> dnů ode dne jejího vystavení.</w:t>
      </w:r>
    </w:p>
    <w:p w14:paraId="7A1FDE64" w14:textId="554D3A80" w:rsidR="00E87594" w:rsidRPr="00195EEA" w:rsidRDefault="00E87594" w:rsidP="00475657">
      <w:pPr>
        <w:pStyle w:val="BBClause2"/>
        <w:numPr>
          <w:ilvl w:val="0"/>
          <w:numId w:val="7"/>
        </w:numPr>
        <w:tabs>
          <w:tab w:val="clear" w:pos="1440"/>
        </w:tabs>
        <w:spacing w:after="60"/>
        <w:rPr>
          <w:rFonts w:asciiTheme="minorHAnsi" w:hAnsiTheme="minorHAnsi" w:cstheme="minorHAnsi"/>
          <w:sz w:val="22"/>
          <w:szCs w:val="22"/>
          <w:lang w:val="cs-CZ"/>
        </w:rPr>
      </w:pPr>
      <w:r w:rsidRPr="00195EEA">
        <w:rPr>
          <w:rFonts w:asciiTheme="minorHAnsi" w:hAnsiTheme="minorHAnsi" w:cstheme="minorHAnsi"/>
          <w:sz w:val="22"/>
          <w:szCs w:val="22"/>
          <w:lang w:val="cs-CZ"/>
        </w:rPr>
        <w:t xml:space="preserve">Faktura bude mít náležitosti stanovené platnými právními předpisy, zejména musí splňovat ustanovení zákona č. 235/2004 Sb., o dani z přidané hodnoty, ve znění pozdějších předpisů, a musí na ní být uvedena sjednaná cena plnění a datum splatnosti v souladu se smlouvou, jinak je FN Brno oprávněna vrátit fakturu k přepracování či doplnění. V takovém případě </w:t>
      </w:r>
      <w:proofErr w:type="gramStart"/>
      <w:r w:rsidRPr="00195EEA">
        <w:rPr>
          <w:rFonts w:asciiTheme="minorHAnsi" w:hAnsiTheme="minorHAnsi" w:cstheme="minorHAnsi"/>
          <w:sz w:val="22"/>
          <w:szCs w:val="22"/>
          <w:lang w:val="cs-CZ"/>
        </w:rPr>
        <w:t>běží</w:t>
      </w:r>
      <w:proofErr w:type="gramEnd"/>
      <w:r w:rsidRPr="00195EEA">
        <w:rPr>
          <w:rFonts w:asciiTheme="minorHAnsi" w:hAnsiTheme="minorHAnsi" w:cstheme="minorHAnsi"/>
          <w:sz w:val="22"/>
          <w:szCs w:val="22"/>
          <w:lang w:val="cs-CZ"/>
        </w:rPr>
        <w:t xml:space="preserve"> nová lhůta splatnosti ode dne doručení opravené faktury FN Brno.</w:t>
      </w:r>
    </w:p>
    <w:p w14:paraId="33A3ACDF" w14:textId="363DDF65" w:rsidR="00E87594" w:rsidRPr="00195EEA" w:rsidRDefault="00E87594" w:rsidP="00475657">
      <w:pPr>
        <w:pStyle w:val="BBClause2"/>
        <w:numPr>
          <w:ilvl w:val="0"/>
          <w:numId w:val="7"/>
        </w:numPr>
        <w:tabs>
          <w:tab w:val="clear" w:pos="1440"/>
        </w:tabs>
        <w:spacing w:after="60"/>
        <w:rPr>
          <w:rFonts w:asciiTheme="minorHAnsi" w:hAnsiTheme="minorHAnsi" w:cstheme="minorHAnsi"/>
          <w:sz w:val="22"/>
          <w:szCs w:val="22"/>
        </w:rPr>
      </w:pPr>
      <w:r w:rsidRPr="00195EEA">
        <w:rPr>
          <w:rFonts w:asciiTheme="minorHAnsi" w:hAnsiTheme="minorHAnsi" w:cstheme="minorHAnsi"/>
          <w:sz w:val="22"/>
          <w:szCs w:val="22"/>
          <w:lang w:val="cs-CZ"/>
        </w:rPr>
        <w:t>Pronajímatel je oprávněn postoupit své peněžité pohledávky za FN Brno výhradně po předchozím písemném souhlasu FN Brno, jinak je postoupení vůči FN Brno neúčinné. Pronajímatel je oprávněn započítat své peněžité pohledávky za FN Brno výhradně na základě písemné dohody obou smluvních stran, jinak je započtení pohledávek neplatné.</w:t>
      </w:r>
    </w:p>
    <w:p w14:paraId="292BBB4F" w14:textId="05B383C8" w:rsidR="00E87594" w:rsidRPr="00475657" w:rsidRDefault="00E87594" w:rsidP="00475657">
      <w:pPr>
        <w:pStyle w:val="Odstavecseseznamem"/>
        <w:numPr>
          <w:ilvl w:val="0"/>
          <w:numId w:val="7"/>
        </w:numPr>
        <w:tabs>
          <w:tab w:val="left" w:pos="1985"/>
          <w:tab w:val="right" w:pos="4111"/>
          <w:tab w:val="left" w:pos="4253"/>
          <w:tab w:val="right" w:pos="7088"/>
          <w:tab w:val="left" w:pos="7230"/>
          <w:tab w:val="right" w:pos="8647"/>
          <w:tab w:val="left" w:pos="8789"/>
        </w:tabs>
        <w:rPr>
          <w:rFonts w:asciiTheme="minorHAnsi" w:hAnsiTheme="minorHAnsi" w:cstheme="minorHAnsi"/>
          <w:color w:val="000000"/>
          <w:sz w:val="22"/>
          <w:szCs w:val="22"/>
        </w:rPr>
      </w:pPr>
      <w:r w:rsidRPr="00475657">
        <w:rPr>
          <w:rFonts w:asciiTheme="minorHAnsi" w:hAnsiTheme="minorHAnsi" w:cstheme="minorHAnsi"/>
          <w:sz w:val="22"/>
          <w:szCs w:val="22"/>
        </w:rPr>
        <w:t xml:space="preserve">V případě, že v okamžiku uskutečnění zdanitelného plnění bude pronajímatel zapsán v registru plátců daně z přidané hodnoty jako nespolehlivý plátce, případně budou naplněny další podmínky § 109 zákona č. 235/2004 Sb., má nájemce právo uhradit za pronajímatele DPH z tohoto zdanitelného plnění, aniž by byl vyzván jako ručitel správcem daně pronajímatele, postupem v souladu s § 109a zák. č. 235/2004 Sb., o dani z přidané hodnoty, ve znění pozdějších předpisů. Stejným způsobem bude postupováno, pokud pronajímatel uvede ve smlouvě bankovní účet, který není uveden v registru plátců daně z přidané hodnoty nebo bude evidován jako nespolehlivá osoba. Pokud nájemce uhradí částku ve výši DPH na účet správce daně pronajímatele a zbývající částku sjednané ceny (relevantní část bez DPH) pronajímateli, považuje se jeho závazek uhradit sjednanou cenu za splněný. Platba bude provedena bezhotovostním převodem z bankovního účtu nájemce na bankovní účet pronajímatele. Dnem úhrady se rozumí den odepsání poslední příslušné částky z účtu nájemce. </w:t>
      </w:r>
    </w:p>
    <w:p w14:paraId="68C86273" w14:textId="77777777" w:rsidR="00601D81" w:rsidRPr="00D60BD6" w:rsidRDefault="00601D81" w:rsidP="00601D81">
      <w:pPr>
        <w:jc w:val="center"/>
        <w:rPr>
          <w:rFonts w:ascii="Calibri" w:hAnsi="Calibri" w:cs="Calibri"/>
          <w:b/>
          <w:bCs/>
          <w:sz w:val="22"/>
          <w:szCs w:val="22"/>
        </w:rPr>
      </w:pPr>
    </w:p>
    <w:p w14:paraId="6A75C09F" w14:textId="77777777" w:rsidR="00601D81" w:rsidRPr="00D60BD6" w:rsidRDefault="00601D81" w:rsidP="00601D81">
      <w:pPr>
        <w:jc w:val="center"/>
        <w:rPr>
          <w:rFonts w:ascii="Calibri" w:hAnsi="Calibri" w:cs="Calibri"/>
          <w:b/>
          <w:bCs/>
          <w:sz w:val="22"/>
          <w:szCs w:val="22"/>
        </w:rPr>
      </w:pPr>
      <w:r w:rsidRPr="00D60BD6">
        <w:rPr>
          <w:rFonts w:ascii="Calibri" w:hAnsi="Calibri" w:cs="Calibri"/>
          <w:b/>
          <w:bCs/>
          <w:sz w:val="22"/>
          <w:szCs w:val="22"/>
        </w:rPr>
        <w:t xml:space="preserve">IV. </w:t>
      </w:r>
    </w:p>
    <w:p w14:paraId="426B94B7" w14:textId="77777777" w:rsidR="00601D81" w:rsidRPr="00D60BD6" w:rsidRDefault="00601D81" w:rsidP="00601D81">
      <w:pPr>
        <w:spacing w:after="120"/>
        <w:jc w:val="center"/>
        <w:rPr>
          <w:rFonts w:ascii="Calibri" w:hAnsi="Calibri" w:cs="Calibri"/>
          <w:b/>
          <w:bCs/>
          <w:sz w:val="22"/>
          <w:szCs w:val="22"/>
        </w:rPr>
      </w:pPr>
      <w:r w:rsidRPr="00D60BD6">
        <w:rPr>
          <w:rFonts w:ascii="Calibri" w:hAnsi="Calibri" w:cs="Calibri"/>
          <w:b/>
          <w:bCs/>
          <w:sz w:val="22"/>
          <w:szCs w:val="22"/>
        </w:rPr>
        <w:t>Práva a povinnosti pronajímatele</w:t>
      </w:r>
    </w:p>
    <w:p w14:paraId="3434FB1C" w14:textId="77777777" w:rsidR="00601D81" w:rsidRPr="00D60BD6" w:rsidRDefault="00601D81" w:rsidP="00601D81">
      <w:pPr>
        <w:numPr>
          <w:ilvl w:val="0"/>
          <w:numId w:val="3"/>
        </w:numPr>
        <w:spacing w:before="60" w:after="60"/>
        <w:jc w:val="both"/>
        <w:rPr>
          <w:rFonts w:ascii="Calibri" w:hAnsi="Calibri" w:cs="Calibri"/>
          <w:sz w:val="22"/>
          <w:szCs w:val="22"/>
        </w:rPr>
      </w:pPr>
      <w:r w:rsidRPr="00D60BD6">
        <w:rPr>
          <w:rFonts w:ascii="Calibri" w:hAnsi="Calibri" w:cs="Calibri"/>
          <w:sz w:val="22"/>
          <w:szCs w:val="22"/>
        </w:rPr>
        <w:t xml:space="preserve">Pronajímatel </w:t>
      </w:r>
      <w:r>
        <w:rPr>
          <w:rFonts w:ascii="Calibri" w:hAnsi="Calibri" w:cs="Calibri"/>
          <w:sz w:val="22"/>
          <w:szCs w:val="22"/>
        </w:rPr>
        <w:t>je povinen předat</w:t>
      </w:r>
      <w:r w:rsidRPr="00D60BD6">
        <w:rPr>
          <w:rFonts w:ascii="Calibri" w:hAnsi="Calibri" w:cs="Calibri"/>
          <w:sz w:val="22"/>
          <w:szCs w:val="22"/>
        </w:rPr>
        <w:t xml:space="preserve"> nájemci předmět nájmu ve stavu způsobilém k jeho řádnému užívání.</w:t>
      </w:r>
    </w:p>
    <w:p w14:paraId="6F9237B6" w14:textId="77777777" w:rsidR="00601D81" w:rsidRPr="00FD557E" w:rsidRDefault="00601D81" w:rsidP="00601D81">
      <w:pPr>
        <w:numPr>
          <w:ilvl w:val="0"/>
          <w:numId w:val="3"/>
        </w:numPr>
        <w:spacing w:before="60" w:after="60"/>
        <w:jc w:val="both"/>
        <w:rPr>
          <w:rFonts w:ascii="Calibri" w:hAnsi="Calibri" w:cs="Calibri"/>
          <w:sz w:val="22"/>
          <w:szCs w:val="22"/>
        </w:rPr>
      </w:pPr>
      <w:r w:rsidRPr="00D60BD6">
        <w:rPr>
          <w:rFonts w:ascii="Calibri" w:hAnsi="Calibri" w:cs="Calibri"/>
          <w:sz w:val="22"/>
          <w:szCs w:val="22"/>
        </w:rPr>
        <w:t xml:space="preserve">Před předáním </w:t>
      </w:r>
      <w:r w:rsidRPr="00FD557E">
        <w:rPr>
          <w:rFonts w:ascii="Calibri" w:hAnsi="Calibri" w:cs="Calibri"/>
          <w:sz w:val="22"/>
          <w:szCs w:val="22"/>
        </w:rPr>
        <w:t xml:space="preserve">předmětu nájmu je pronajímatel povinen seznámit nájemce s obsluhou předmětu nájmu a požadavky na jeho pravidelnou běžnou údržbu. </w:t>
      </w:r>
    </w:p>
    <w:p w14:paraId="57703973" w14:textId="3958FAE1" w:rsidR="00601D81" w:rsidRPr="00FD557E" w:rsidRDefault="00601D81" w:rsidP="00601D81">
      <w:pPr>
        <w:numPr>
          <w:ilvl w:val="0"/>
          <w:numId w:val="3"/>
        </w:numPr>
        <w:spacing w:before="60" w:after="60"/>
        <w:jc w:val="both"/>
        <w:rPr>
          <w:rFonts w:ascii="Calibri" w:hAnsi="Calibri" w:cs="Calibri"/>
          <w:sz w:val="22"/>
          <w:szCs w:val="22"/>
        </w:rPr>
      </w:pPr>
      <w:r w:rsidRPr="00FD557E">
        <w:rPr>
          <w:rFonts w:ascii="Calibri" w:hAnsi="Calibri" w:cs="Calibri"/>
          <w:sz w:val="22"/>
          <w:szCs w:val="22"/>
        </w:rPr>
        <w:t xml:space="preserve">Pronajímatel se zavazuje, že po dobu nájmu zajistí bezplatný servis předmětu nájmu s nástupem na opravu do </w:t>
      </w:r>
      <w:r w:rsidR="001B40FC" w:rsidRPr="00FD557E">
        <w:rPr>
          <w:rFonts w:ascii="Calibri" w:hAnsi="Calibri" w:cs="Calibri"/>
          <w:sz w:val="22"/>
          <w:szCs w:val="22"/>
        </w:rPr>
        <w:t>3 pracovních</w:t>
      </w:r>
      <w:r w:rsidRPr="00FD557E">
        <w:rPr>
          <w:rFonts w:ascii="Calibri" w:hAnsi="Calibri" w:cs="Calibri"/>
          <w:sz w:val="22"/>
          <w:szCs w:val="22"/>
        </w:rPr>
        <w:t xml:space="preserve"> dnů od písemného či telefonického nahlášení potřeby opravy včetně údržby. </w:t>
      </w:r>
    </w:p>
    <w:p w14:paraId="0758E632" w14:textId="7666E6E7" w:rsidR="00601D81" w:rsidRPr="00D60BD6" w:rsidRDefault="00601D81" w:rsidP="00601D81">
      <w:pPr>
        <w:numPr>
          <w:ilvl w:val="0"/>
          <w:numId w:val="3"/>
        </w:numPr>
        <w:spacing w:before="60" w:after="60"/>
        <w:jc w:val="both"/>
        <w:rPr>
          <w:rFonts w:ascii="Calibri" w:hAnsi="Calibri" w:cs="Calibri"/>
          <w:sz w:val="22"/>
          <w:szCs w:val="22"/>
        </w:rPr>
      </w:pPr>
      <w:r w:rsidRPr="00D60BD6">
        <w:rPr>
          <w:rFonts w:ascii="Calibri" w:hAnsi="Calibri" w:cs="Calibri"/>
          <w:sz w:val="22"/>
          <w:szCs w:val="22"/>
        </w:rPr>
        <w:t xml:space="preserve">Ustanovení odst. 3 tohoto článku neplatí pro případ, kdy závadu způsobí nájemce porušením nebo zanedbáním svých povinností stanovených touto smlouvou, užíváním předmětu nájmu v rozporu s návodem k užívání nebo pokud obsluha předmětu nájmu poškodí svou vinou či nedbalostí předmět nájmu. V těchto případech </w:t>
      </w:r>
      <w:r w:rsidR="00225D73">
        <w:rPr>
          <w:rFonts w:ascii="Calibri" w:hAnsi="Calibri" w:cs="Calibri"/>
          <w:sz w:val="22"/>
          <w:szCs w:val="22"/>
        </w:rPr>
        <w:t>hradí</w:t>
      </w:r>
      <w:r w:rsidRPr="00D60BD6">
        <w:rPr>
          <w:rFonts w:ascii="Calibri" w:hAnsi="Calibri" w:cs="Calibri"/>
          <w:sz w:val="22"/>
          <w:szCs w:val="22"/>
        </w:rPr>
        <w:t xml:space="preserve"> náklady na opravu předmětu nájmu nájemce. </w:t>
      </w:r>
    </w:p>
    <w:p w14:paraId="7883B17A" w14:textId="77777777" w:rsidR="00601D81" w:rsidRPr="00D60BD6" w:rsidRDefault="00601D81" w:rsidP="00601D81">
      <w:pPr>
        <w:numPr>
          <w:ilvl w:val="0"/>
          <w:numId w:val="3"/>
        </w:numPr>
        <w:spacing w:before="60" w:after="60"/>
        <w:jc w:val="both"/>
        <w:rPr>
          <w:rFonts w:ascii="Calibri" w:hAnsi="Calibri" w:cs="Calibri"/>
          <w:sz w:val="22"/>
          <w:szCs w:val="22"/>
        </w:rPr>
      </w:pPr>
      <w:r w:rsidRPr="00D60BD6">
        <w:rPr>
          <w:rFonts w:ascii="Calibri" w:hAnsi="Calibri" w:cs="Calibri"/>
          <w:sz w:val="22"/>
          <w:szCs w:val="22"/>
        </w:rPr>
        <w:t xml:space="preserve">Jestliže pronajímatel zjistí, že nájemce neužívá předmět nájmu řádně nebo jestliže ho užívá v rozporu s účelem, ke kterému </w:t>
      </w:r>
      <w:proofErr w:type="gramStart"/>
      <w:r w:rsidRPr="00D60BD6">
        <w:rPr>
          <w:rFonts w:ascii="Calibri" w:hAnsi="Calibri" w:cs="Calibri"/>
          <w:sz w:val="22"/>
          <w:szCs w:val="22"/>
        </w:rPr>
        <w:t>slouží</w:t>
      </w:r>
      <w:proofErr w:type="gramEnd"/>
      <w:r w:rsidRPr="00D60BD6">
        <w:rPr>
          <w:rFonts w:ascii="Calibri" w:hAnsi="Calibri" w:cs="Calibri"/>
          <w:sz w:val="22"/>
          <w:szCs w:val="22"/>
        </w:rPr>
        <w:t xml:space="preserve">, je oprávněn požadovat vrácení předmětu nájmu před skončením stanovené doby nájmu. Nájemce je v tomto případě povinen vrátit předmět nájmu </w:t>
      </w:r>
      <w:r w:rsidRPr="00D60BD6">
        <w:rPr>
          <w:rFonts w:ascii="Calibri" w:hAnsi="Calibri" w:cs="Calibri"/>
          <w:sz w:val="22"/>
          <w:szCs w:val="22"/>
        </w:rPr>
        <w:lastRenderedPageBreak/>
        <w:t>nejpozději do dvou pracovních dní poté, kdy byl pronajímatelem k vrácení vyzván. V dané souvislosti platí článek II., odstavec 2.</w:t>
      </w:r>
    </w:p>
    <w:p w14:paraId="6F3C80B1" w14:textId="77777777" w:rsidR="00601D81" w:rsidRPr="00D60BD6" w:rsidRDefault="00601D81" w:rsidP="00601D81">
      <w:pPr>
        <w:numPr>
          <w:ilvl w:val="0"/>
          <w:numId w:val="3"/>
        </w:numPr>
        <w:spacing w:before="60" w:after="60"/>
        <w:jc w:val="both"/>
        <w:rPr>
          <w:rFonts w:ascii="Calibri" w:hAnsi="Calibri" w:cs="Calibri"/>
          <w:sz w:val="22"/>
          <w:szCs w:val="22"/>
        </w:rPr>
      </w:pPr>
      <w:r w:rsidRPr="00D60BD6">
        <w:rPr>
          <w:rFonts w:ascii="Calibri" w:hAnsi="Calibri" w:cs="Calibri"/>
          <w:sz w:val="22"/>
          <w:szCs w:val="22"/>
        </w:rPr>
        <w:t>Pronajímatel se zavazuje pojistit předmět nájmu na svoje náklady a udržovat toto pojištění předmětu nájmu po celou dobu trvání nájemního vztahu.</w:t>
      </w:r>
    </w:p>
    <w:p w14:paraId="7F21EB60" w14:textId="77777777" w:rsidR="00601D81" w:rsidRPr="00D60BD6" w:rsidRDefault="00601D81" w:rsidP="00601D81">
      <w:pPr>
        <w:jc w:val="center"/>
        <w:rPr>
          <w:rFonts w:ascii="Calibri" w:hAnsi="Calibri" w:cs="Calibri"/>
          <w:b/>
          <w:bCs/>
          <w:sz w:val="16"/>
          <w:szCs w:val="16"/>
        </w:rPr>
      </w:pPr>
    </w:p>
    <w:p w14:paraId="534FC36D" w14:textId="77777777" w:rsidR="00601D81" w:rsidRPr="00D60BD6" w:rsidRDefault="00601D81" w:rsidP="00601D81">
      <w:pPr>
        <w:jc w:val="center"/>
        <w:rPr>
          <w:rFonts w:ascii="Calibri" w:hAnsi="Calibri" w:cs="Calibri"/>
          <w:b/>
          <w:bCs/>
          <w:sz w:val="22"/>
          <w:szCs w:val="22"/>
        </w:rPr>
      </w:pPr>
      <w:r w:rsidRPr="00D60BD6">
        <w:rPr>
          <w:rFonts w:ascii="Calibri" w:hAnsi="Calibri" w:cs="Calibri"/>
          <w:b/>
          <w:bCs/>
          <w:sz w:val="22"/>
          <w:szCs w:val="22"/>
        </w:rPr>
        <w:t>V.</w:t>
      </w:r>
    </w:p>
    <w:p w14:paraId="360908AF" w14:textId="77777777" w:rsidR="00601D81" w:rsidRPr="00D60BD6" w:rsidRDefault="00601D81" w:rsidP="00601D81">
      <w:pPr>
        <w:spacing w:after="120"/>
        <w:jc w:val="center"/>
        <w:rPr>
          <w:rFonts w:ascii="Calibri" w:hAnsi="Calibri" w:cs="Calibri"/>
          <w:b/>
          <w:bCs/>
          <w:sz w:val="22"/>
          <w:szCs w:val="22"/>
        </w:rPr>
      </w:pPr>
      <w:r w:rsidRPr="00D60BD6">
        <w:rPr>
          <w:rFonts w:ascii="Calibri" w:hAnsi="Calibri" w:cs="Calibri"/>
          <w:b/>
          <w:bCs/>
          <w:sz w:val="22"/>
          <w:szCs w:val="22"/>
        </w:rPr>
        <w:t>Práva a povinnosti nájemce</w:t>
      </w:r>
    </w:p>
    <w:p w14:paraId="139F047C" w14:textId="77777777" w:rsidR="00601D81" w:rsidRPr="00D60BD6" w:rsidRDefault="00601D81" w:rsidP="00601D81">
      <w:pPr>
        <w:numPr>
          <w:ilvl w:val="0"/>
          <w:numId w:val="4"/>
        </w:numPr>
        <w:spacing w:before="60" w:after="60"/>
        <w:jc w:val="both"/>
        <w:rPr>
          <w:rFonts w:ascii="Calibri" w:hAnsi="Calibri" w:cs="Calibri"/>
          <w:sz w:val="22"/>
          <w:szCs w:val="22"/>
        </w:rPr>
      </w:pPr>
      <w:r w:rsidRPr="00D60BD6">
        <w:rPr>
          <w:rFonts w:ascii="Calibri" w:hAnsi="Calibri" w:cs="Calibri"/>
          <w:sz w:val="22"/>
          <w:szCs w:val="22"/>
        </w:rPr>
        <w:t xml:space="preserve">Po dobu, po kterou bude nájemce na základě této smlouvy předmět nájmu užívat, je povinen předmět nájmu užívat řádně v souladu s účelem, ke kterému obvykle </w:t>
      </w:r>
      <w:proofErr w:type="gramStart"/>
      <w:r w:rsidRPr="00D60BD6">
        <w:rPr>
          <w:rFonts w:ascii="Calibri" w:hAnsi="Calibri" w:cs="Calibri"/>
          <w:sz w:val="22"/>
          <w:szCs w:val="22"/>
        </w:rPr>
        <w:t>slouží</w:t>
      </w:r>
      <w:proofErr w:type="gramEnd"/>
      <w:r w:rsidRPr="00D60BD6">
        <w:rPr>
          <w:rFonts w:ascii="Calibri" w:hAnsi="Calibri" w:cs="Calibri"/>
          <w:sz w:val="22"/>
          <w:szCs w:val="22"/>
        </w:rPr>
        <w:t xml:space="preserve"> a způsobem přiměřeným povaze a určení předmětu nájmu. Je povinen chránit předmět nájmu před ztrátou, zničením, poškozením nebo znehodnocením.</w:t>
      </w:r>
    </w:p>
    <w:p w14:paraId="567BB388" w14:textId="77777777" w:rsidR="00601D81" w:rsidRPr="00D60BD6" w:rsidRDefault="00601D81" w:rsidP="00601D81">
      <w:pPr>
        <w:numPr>
          <w:ilvl w:val="0"/>
          <w:numId w:val="4"/>
        </w:numPr>
        <w:spacing w:before="60" w:after="60"/>
        <w:jc w:val="both"/>
        <w:rPr>
          <w:rFonts w:ascii="Calibri" w:hAnsi="Calibri" w:cs="Calibri"/>
          <w:sz w:val="22"/>
          <w:szCs w:val="22"/>
        </w:rPr>
      </w:pPr>
      <w:r w:rsidRPr="00D60BD6">
        <w:rPr>
          <w:rFonts w:ascii="Calibri" w:hAnsi="Calibri" w:cs="Calibri"/>
          <w:sz w:val="22"/>
          <w:szCs w:val="22"/>
        </w:rPr>
        <w:t xml:space="preserve">Nájemce není oprávněn provádět na předmětu nájmu jakékoli změny. </w:t>
      </w:r>
    </w:p>
    <w:p w14:paraId="62A341DE" w14:textId="77777777" w:rsidR="00601D81" w:rsidRPr="00D60BD6" w:rsidRDefault="00601D81" w:rsidP="00601D81">
      <w:pPr>
        <w:numPr>
          <w:ilvl w:val="0"/>
          <w:numId w:val="4"/>
        </w:numPr>
        <w:spacing w:before="60" w:after="60"/>
        <w:jc w:val="both"/>
        <w:rPr>
          <w:rFonts w:ascii="Calibri" w:hAnsi="Calibri" w:cs="Calibri"/>
          <w:sz w:val="22"/>
          <w:szCs w:val="22"/>
        </w:rPr>
      </w:pPr>
      <w:r w:rsidRPr="00D60BD6">
        <w:rPr>
          <w:rFonts w:ascii="Calibri" w:hAnsi="Calibri" w:cs="Calibri"/>
          <w:sz w:val="22"/>
          <w:szCs w:val="22"/>
        </w:rPr>
        <w:t xml:space="preserve">Nájemce je povinen oznámit pronajímateli bez zbytečného odkladu potřeby veškerých oprav předmětu nájmu. </w:t>
      </w:r>
    </w:p>
    <w:p w14:paraId="2C22DD35" w14:textId="77777777" w:rsidR="00601D81" w:rsidRPr="00D60BD6" w:rsidRDefault="00601D81" w:rsidP="00601D81">
      <w:pPr>
        <w:numPr>
          <w:ilvl w:val="0"/>
          <w:numId w:val="4"/>
        </w:numPr>
        <w:spacing w:before="60" w:after="60"/>
        <w:jc w:val="both"/>
        <w:rPr>
          <w:rFonts w:ascii="Calibri" w:hAnsi="Calibri" w:cs="Calibri"/>
          <w:sz w:val="22"/>
          <w:szCs w:val="22"/>
        </w:rPr>
      </w:pPr>
      <w:r w:rsidRPr="00D60BD6">
        <w:rPr>
          <w:rFonts w:ascii="Calibri" w:hAnsi="Calibri" w:cs="Calibri"/>
          <w:sz w:val="22"/>
          <w:szCs w:val="22"/>
        </w:rPr>
        <w:t xml:space="preserve">Nájemce není oprávněn přenechat předmět nájmu do užívání třetí osobě bez předchozího písemného souhlasu pronajímatele. </w:t>
      </w:r>
    </w:p>
    <w:p w14:paraId="508D01E2" w14:textId="77777777" w:rsidR="00601D81" w:rsidRPr="00D60BD6" w:rsidRDefault="00601D81" w:rsidP="00601D81">
      <w:pPr>
        <w:numPr>
          <w:ilvl w:val="0"/>
          <w:numId w:val="4"/>
        </w:numPr>
        <w:spacing w:before="60" w:after="60"/>
        <w:jc w:val="both"/>
        <w:rPr>
          <w:rFonts w:ascii="Calibri" w:hAnsi="Calibri" w:cs="Calibri"/>
          <w:sz w:val="22"/>
          <w:szCs w:val="22"/>
        </w:rPr>
      </w:pPr>
      <w:r w:rsidRPr="00D60BD6">
        <w:rPr>
          <w:rFonts w:ascii="Calibri" w:hAnsi="Calibri" w:cs="Calibri"/>
          <w:sz w:val="22"/>
          <w:szCs w:val="22"/>
        </w:rPr>
        <w:t xml:space="preserve">Nájemce se touto smlouvou zavazuje nezajišťovat servis a opravy předmětu nájmu prostřednictvím jiného subjektu než prostřednictvím pronajímatele. Při porušení tohoto ustanovení odpovídá za případnou škodu, která by tímto na předmětu nájmu vznikla. </w:t>
      </w:r>
    </w:p>
    <w:p w14:paraId="4C8E2DD1" w14:textId="77777777" w:rsidR="00601D81" w:rsidRPr="00D60BD6" w:rsidRDefault="00601D81" w:rsidP="00601D81">
      <w:pPr>
        <w:numPr>
          <w:ilvl w:val="0"/>
          <w:numId w:val="4"/>
        </w:numPr>
        <w:spacing w:before="60" w:after="60"/>
        <w:jc w:val="both"/>
        <w:rPr>
          <w:rFonts w:ascii="Calibri" w:hAnsi="Calibri" w:cs="Calibri"/>
          <w:sz w:val="22"/>
          <w:szCs w:val="22"/>
        </w:rPr>
      </w:pPr>
      <w:r w:rsidRPr="00D60BD6">
        <w:rPr>
          <w:rFonts w:ascii="Calibri" w:hAnsi="Calibri" w:cs="Calibri"/>
          <w:sz w:val="22"/>
          <w:szCs w:val="22"/>
        </w:rPr>
        <w:t>Nájemce je povinen umožnit pronajímateli na jeho žádost danou nájemci nejméně 2 dny předem přístup k předmětu nájmu za účelem kontroly, zda nájemce předmět nájmu užívá řádným způsobem.</w:t>
      </w:r>
    </w:p>
    <w:p w14:paraId="0580884A" w14:textId="77777777" w:rsidR="00601D81" w:rsidRPr="00D60BD6" w:rsidRDefault="00601D81" w:rsidP="00601D81">
      <w:pPr>
        <w:numPr>
          <w:ilvl w:val="0"/>
          <w:numId w:val="4"/>
        </w:numPr>
        <w:spacing w:before="60" w:after="60"/>
        <w:jc w:val="both"/>
        <w:rPr>
          <w:rFonts w:ascii="Calibri" w:hAnsi="Calibri" w:cs="Calibri"/>
          <w:sz w:val="22"/>
          <w:szCs w:val="22"/>
        </w:rPr>
      </w:pPr>
      <w:r w:rsidRPr="00D60BD6">
        <w:rPr>
          <w:rFonts w:ascii="Calibri" w:hAnsi="Calibri" w:cs="Calibri"/>
          <w:sz w:val="22"/>
          <w:szCs w:val="22"/>
        </w:rPr>
        <w:t xml:space="preserve">Podpisem protokolu o předání a převzetí předmětu nájmu nájemce stvrdí, že předmět nájmu od pronajímatele převzal ve stavu způsobilém k řádnému užívání, a že byl seznámen s požadavky na jeho obsluhu a údržbu. </w:t>
      </w:r>
    </w:p>
    <w:p w14:paraId="2EF93ECC" w14:textId="77777777" w:rsidR="00601D81" w:rsidRPr="00FD557E" w:rsidRDefault="00601D81" w:rsidP="00601D81">
      <w:pPr>
        <w:numPr>
          <w:ilvl w:val="0"/>
          <w:numId w:val="4"/>
        </w:numPr>
        <w:spacing w:before="60" w:after="60"/>
        <w:jc w:val="both"/>
        <w:rPr>
          <w:rFonts w:ascii="Calibri" w:hAnsi="Calibri" w:cs="Calibri"/>
          <w:sz w:val="22"/>
          <w:szCs w:val="22"/>
        </w:rPr>
      </w:pPr>
      <w:r w:rsidRPr="00D60BD6">
        <w:rPr>
          <w:rFonts w:ascii="Calibri" w:hAnsi="Calibri" w:cs="Calibri"/>
          <w:sz w:val="22"/>
          <w:szCs w:val="22"/>
        </w:rPr>
        <w:t xml:space="preserve">Nájemce není oprávněn </w:t>
      </w:r>
      <w:r w:rsidRPr="00FD557E">
        <w:rPr>
          <w:rFonts w:ascii="Calibri" w:hAnsi="Calibri" w:cs="Calibri"/>
          <w:sz w:val="22"/>
          <w:szCs w:val="22"/>
        </w:rPr>
        <w:t xml:space="preserve">přemístit předmět nájmu bez předchozího písemného souhlasu pronajímatele. </w:t>
      </w:r>
    </w:p>
    <w:p w14:paraId="1BF9E6C0" w14:textId="5F98453F" w:rsidR="0002703C" w:rsidRPr="00FD557E" w:rsidRDefault="0002703C" w:rsidP="0002703C">
      <w:pPr>
        <w:numPr>
          <w:ilvl w:val="0"/>
          <w:numId w:val="4"/>
        </w:numPr>
        <w:jc w:val="both"/>
        <w:rPr>
          <w:rFonts w:ascii="Calibri" w:hAnsi="Calibri" w:cs="Calibri"/>
          <w:sz w:val="22"/>
          <w:szCs w:val="22"/>
        </w:rPr>
      </w:pPr>
      <w:r w:rsidRPr="00FD557E">
        <w:rPr>
          <w:rFonts w:ascii="Calibri" w:hAnsi="Calibri" w:cs="Calibri"/>
          <w:sz w:val="22"/>
          <w:szCs w:val="22"/>
        </w:rPr>
        <w:t>Nájemce je oprávněn předmět nájmu od pronajímatele kdykoliv odkoupit. Kupní cena za předmět nájmu bude odpovídat rozdílu mezi hodnotou předmětu nájmu uvedenou v článku I. odst. 1 této smlouvy a součtem již zaplaceného nájemného dle této smlouvy.</w:t>
      </w:r>
    </w:p>
    <w:p w14:paraId="2AEAEFA1" w14:textId="651F4DF3" w:rsidR="00601D81" w:rsidRPr="0002703C" w:rsidRDefault="0002703C" w:rsidP="0002703C">
      <w:pPr>
        <w:numPr>
          <w:ilvl w:val="0"/>
          <w:numId w:val="4"/>
        </w:numPr>
        <w:jc w:val="both"/>
        <w:rPr>
          <w:rFonts w:ascii="Calibri" w:hAnsi="Calibri" w:cs="Calibri"/>
          <w:sz w:val="22"/>
          <w:szCs w:val="22"/>
        </w:rPr>
      </w:pPr>
      <w:r>
        <w:rPr>
          <w:rFonts w:ascii="Calibri" w:hAnsi="Calibri" w:cs="Calibri"/>
          <w:sz w:val="22"/>
          <w:szCs w:val="22"/>
        </w:rPr>
        <w:t>V případě, že dojde k uplatnění práva koupě předmětu nájmu dle předchozího odstavce, není nájemce povinen vrátit předmět nájmu dle čl. II. odst. 2.</w:t>
      </w:r>
    </w:p>
    <w:p w14:paraId="65B3190E" w14:textId="77777777" w:rsidR="00601D81" w:rsidRPr="00D60BD6" w:rsidRDefault="00601D81" w:rsidP="00601D81">
      <w:pPr>
        <w:jc w:val="center"/>
        <w:rPr>
          <w:rFonts w:ascii="Calibri" w:hAnsi="Calibri" w:cs="Calibri"/>
          <w:b/>
          <w:bCs/>
          <w:sz w:val="16"/>
          <w:szCs w:val="16"/>
        </w:rPr>
      </w:pPr>
    </w:p>
    <w:p w14:paraId="22D51710" w14:textId="77777777" w:rsidR="00601D81" w:rsidRPr="00D60BD6" w:rsidRDefault="00601D81" w:rsidP="00601D81">
      <w:pPr>
        <w:jc w:val="center"/>
        <w:rPr>
          <w:rFonts w:ascii="Calibri" w:hAnsi="Calibri" w:cs="Calibri"/>
          <w:b/>
          <w:bCs/>
          <w:sz w:val="22"/>
          <w:szCs w:val="22"/>
        </w:rPr>
      </w:pPr>
      <w:r w:rsidRPr="00D60BD6">
        <w:rPr>
          <w:rFonts w:ascii="Calibri" w:hAnsi="Calibri" w:cs="Calibri"/>
          <w:b/>
          <w:bCs/>
          <w:sz w:val="22"/>
          <w:szCs w:val="22"/>
        </w:rPr>
        <w:t>VI.</w:t>
      </w:r>
    </w:p>
    <w:p w14:paraId="63E286A5" w14:textId="77777777" w:rsidR="00601D81" w:rsidRPr="00D60BD6" w:rsidRDefault="00601D81" w:rsidP="00601D81">
      <w:pPr>
        <w:spacing w:after="120"/>
        <w:jc w:val="center"/>
        <w:rPr>
          <w:rFonts w:ascii="Calibri" w:hAnsi="Calibri" w:cs="Calibri"/>
          <w:b/>
          <w:bCs/>
          <w:sz w:val="22"/>
          <w:szCs w:val="22"/>
        </w:rPr>
      </w:pPr>
      <w:r w:rsidRPr="00D60BD6">
        <w:rPr>
          <w:rFonts w:ascii="Calibri" w:hAnsi="Calibri" w:cs="Calibri"/>
          <w:b/>
          <w:bCs/>
          <w:sz w:val="22"/>
          <w:szCs w:val="22"/>
        </w:rPr>
        <w:t>Skončení nájmu</w:t>
      </w:r>
    </w:p>
    <w:p w14:paraId="04544CE0" w14:textId="77777777" w:rsidR="00601D81" w:rsidRPr="00D60BD6" w:rsidRDefault="00601D81" w:rsidP="00601D81">
      <w:pPr>
        <w:numPr>
          <w:ilvl w:val="0"/>
          <w:numId w:val="5"/>
        </w:numPr>
        <w:spacing w:before="60" w:after="60"/>
        <w:jc w:val="both"/>
        <w:rPr>
          <w:rFonts w:ascii="Calibri" w:hAnsi="Calibri" w:cs="Calibri"/>
          <w:sz w:val="22"/>
          <w:szCs w:val="22"/>
        </w:rPr>
      </w:pPr>
      <w:r w:rsidRPr="00D60BD6">
        <w:rPr>
          <w:rFonts w:ascii="Calibri" w:hAnsi="Calibri" w:cs="Calibri"/>
          <w:sz w:val="22"/>
          <w:szCs w:val="22"/>
        </w:rPr>
        <w:t xml:space="preserve">Nájem sjednaný v článku II., odst. 3 </w:t>
      </w:r>
      <w:proofErr w:type="gramStart"/>
      <w:r w:rsidRPr="00D60BD6">
        <w:rPr>
          <w:rFonts w:ascii="Calibri" w:hAnsi="Calibri" w:cs="Calibri"/>
          <w:sz w:val="22"/>
          <w:szCs w:val="22"/>
        </w:rPr>
        <w:t>končí</w:t>
      </w:r>
      <w:proofErr w:type="gramEnd"/>
      <w:r w:rsidRPr="00D60BD6">
        <w:rPr>
          <w:rFonts w:ascii="Calibri" w:hAnsi="Calibri" w:cs="Calibri"/>
          <w:sz w:val="22"/>
          <w:szCs w:val="22"/>
        </w:rPr>
        <w:t>:</w:t>
      </w:r>
    </w:p>
    <w:p w14:paraId="3115D430" w14:textId="77777777" w:rsidR="00601D81" w:rsidRPr="00D60BD6" w:rsidRDefault="00601D81" w:rsidP="00601D81">
      <w:pPr>
        <w:numPr>
          <w:ilvl w:val="1"/>
          <w:numId w:val="5"/>
        </w:numPr>
        <w:spacing w:before="60" w:after="60"/>
        <w:ind w:left="714" w:hanging="357"/>
        <w:jc w:val="both"/>
        <w:rPr>
          <w:rFonts w:ascii="Calibri" w:hAnsi="Calibri" w:cs="Calibri"/>
          <w:sz w:val="22"/>
          <w:szCs w:val="22"/>
        </w:rPr>
      </w:pPr>
      <w:r w:rsidRPr="00D60BD6">
        <w:rPr>
          <w:rFonts w:ascii="Calibri" w:hAnsi="Calibri" w:cs="Calibri"/>
          <w:sz w:val="22"/>
          <w:szCs w:val="22"/>
        </w:rPr>
        <w:t>uplynutím sjednané doby,</w:t>
      </w:r>
    </w:p>
    <w:p w14:paraId="2D7A12BA" w14:textId="77777777" w:rsidR="00601D81" w:rsidRPr="00D60BD6" w:rsidRDefault="00601D81" w:rsidP="00601D81">
      <w:pPr>
        <w:numPr>
          <w:ilvl w:val="1"/>
          <w:numId w:val="5"/>
        </w:numPr>
        <w:spacing w:before="60" w:after="60"/>
        <w:ind w:left="714" w:hanging="357"/>
        <w:jc w:val="both"/>
        <w:rPr>
          <w:rFonts w:ascii="Calibri" w:hAnsi="Calibri" w:cs="Calibri"/>
          <w:sz w:val="22"/>
          <w:szCs w:val="22"/>
        </w:rPr>
      </w:pPr>
      <w:r w:rsidRPr="00D60BD6">
        <w:rPr>
          <w:rFonts w:ascii="Calibri" w:hAnsi="Calibri" w:cs="Calibri"/>
          <w:sz w:val="22"/>
          <w:szCs w:val="22"/>
        </w:rPr>
        <w:t>nebo písemnou dohodou,</w:t>
      </w:r>
    </w:p>
    <w:p w14:paraId="3F2D2284" w14:textId="77777777" w:rsidR="00601D81" w:rsidRPr="00D60BD6" w:rsidRDefault="00601D81" w:rsidP="00601D81">
      <w:pPr>
        <w:numPr>
          <w:ilvl w:val="1"/>
          <w:numId w:val="5"/>
        </w:numPr>
        <w:spacing w:before="60" w:after="60"/>
        <w:ind w:left="714" w:hanging="357"/>
        <w:jc w:val="both"/>
        <w:rPr>
          <w:rFonts w:ascii="Calibri" w:hAnsi="Calibri" w:cs="Calibri"/>
          <w:sz w:val="22"/>
          <w:szCs w:val="22"/>
        </w:rPr>
      </w:pPr>
      <w:r w:rsidRPr="00D60BD6">
        <w:rPr>
          <w:rFonts w:ascii="Calibri" w:hAnsi="Calibri" w:cs="Calibri"/>
          <w:sz w:val="22"/>
          <w:szCs w:val="22"/>
        </w:rPr>
        <w:t xml:space="preserve">nebo písemnou výpovědí pronajímatele či nájemce před uplynutím sjednané doby. </w:t>
      </w:r>
      <w:r w:rsidRPr="00225D73">
        <w:rPr>
          <w:rFonts w:ascii="Calibri" w:hAnsi="Calibri" w:cs="Calibri"/>
          <w:sz w:val="22"/>
          <w:szCs w:val="22"/>
        </w:rPr>
        <w:t>Výpovědní doba činí 1 měsíc a počítá se od prvního dne měsíce následujícího po doručení výpovědi druhé</w:t>
      </w:r>
      <w:r w:rsidRPr="00D60BD6">
        <w:rPr>
          <w:rFonts w:ascii="Calibri" w:hAnsi="Calibri" w:cs="Calibri"/>
          <w:sz w:val="22"/>
          <w:szCs w:val="22"/>
        </w:rPr>
        <w:t xml:space="preserve"> smluvní straně.</w:t>
      </w:r>
    </w:p>
    <w:p w14:paraId="23ABE006" w14:textId="77777777" w:rsidR="00475657" w:rsidRDefault="00475657" w:rsidP="00601D81">
      <w:pPr>
        <w:jc w:val="center"/>
        <w:rPr>
          <w:rFonts w:ascii="Calibri" w:hAnsi="Calibri" w:cs="Calibri"/>
          <w:b/>
          <w:bCs/>
          <w:sz w:val="22"/>
          <w:szCs w:val="22"/>
        </w:rPr>
      </w:pPr>
    </w:p>
    <w:p w14:paraId="42670BA3" w14:textId="25A77122" w:rsidR="00601D81" w:rsidRPr="00D60BD6" w:rsidRDefault="00601D81" w:rsidP="00601D81">
      <w:pPr>
        <w:jc w:val="center"/>
        <w:rPr>
          <w:rFonts w:ascii="Calibri" w:hAnsi="Calibri" w:cs="Calibri"/>
          <w:b/>
          <w:bCs/>
          <w:sz w:val="22"/>
          <w:szCs w:val="22"/>
        </w:rPr>
      </w:pPr>
      <w:r w:rsidRPr="00D60BD6">
        <w:rPr>
          <w:rFonts w:ascii="Calibri" w:hAnsi="Calibri" w:cs="Calibri"/>
          <w:b/>
          <w:bCs/>
          <w:sz w:val="22"/>
          <w:szCs w:val="22"/>
        </w:rPr>
        <w:t>VII.</w:t>
      </w:r>
    </w:p>
    <w:p w14:paraId="0636436F" w14:textId="77777777" w:rsidR="00601D81" w:rsidRPr="00D60BD6" w:rsidRDefault="00601D81" w:rsidP="00601D81">
      <w:pPr>
        <w:spacing w:after="60"/>
        <w:jc w:val="center"/>
        <w:rPr>
          <w:rFonts w:ascii="Calibri" w:hAnsi="Calibri" w:cs="Calibri"/>
          <w:b/>
          <w:bCs/>
          <w:sz w:val="22"/>
          <w:szCs w:val="22"/>
        </w:rPr>
      </w:pPr>
      <w:r w:rsidRPr="00D60BD6">
        <w:rPr>
          <w:rFonts w:ascii="Calibri" w:hAnsi="Calibri" w:cs="Calibri"/>
          <w:b/>
          <w:bCs/>
          <w:sz w:val="22"/>
          <w:szCs w:val="22"/>
        </w:rPr>
        <w:t>Závěrečná ustanovení</w:t>
      </w:r>
    </w:p>
    <w:p w14:paraId="6AC5BD48" w14:textId="77777777" w:rsidR="00601D81" w:rsidRPr="00D60BD6" w:rsidRDefault="00601D81" w:rsidP="00601D81">
      <w:pPr>
        <w:pStyle w:val="Zkladntext"/>
        <w:numPr>
          <w:ilvl w:val="0"/>
          <w:numId w:val="6"/>
        </w:numPr>
        <w:spacing w:before="60" w:after="60"/>
        <w:rPr>
          <w:rFonts w:ascii="Calibri" w:hAnsi="Calibri" w:cs="Calibri"/>
          <w:sz w:val="22"/>
          <w:szCs w:val="22"/>
        </w:rPr>
      </w:pPr>
      <w:r w:rsidRPr="00D60BD6">
        <w:rPr>
          <w:rFonts w:ascii="Calibri" w:hAnsi="Calibri" w:cs="Calibri"/>
          <w:sz w:val="22"/>
          <w:szCs w:val="22"/>
        </w:rPr>
        <w:t>Případné změny a doplňky této smlouvy mohou být provedeny pouze písemnými chronologicky číslovanými dodatky vzájemně odsouhlasenými oběma smluvními stranami. Veškeré dodatky a přílohy se stávají nedílnou součástí této smlouvy.</w:t>
      </w:r>
    </w:p>
    <w:p w14:paraId="3EFB69B1" w14:textId="77777777" w:rsidR="00601D81" w:rsidRPr="00D60BD6" w:rsidRDefault="00601D81" w:rsidP="00601D81">
      <w:pPr>
        <w:pStyle w:val="Zkladntext"/>
        <w:numPr>
          <w:ilvl w:val="0"/>
          <w:numId w:val="6"/>
        </w:numPr>
        <w:spacing w:before="60" w:after="60"/>
        <w:rPr>
          <w:rFonts w:ascii="Calibri" w:hAnsi="Calibri" w:cs="Calibri"/>
          <w:sz w:val="22"/>
          <w:szCs w:val="22"/>
        </w:rPr>
      </w:pPr>
      <w:r w:rsidRPr="00D60BD6">
        <w:rPr>
          <w:rFonts w:ascii="Calibri" w:hAnsi="Calibri" w:cs="Calibri"/>
          <w:sz w:val="22"/>
          <w:szCs w:val="22"/>
        </w:rPr>
        <w:t xml:space="preserve">Strany této smlouvy podpisem této smlouvy výslovně prohlašují, že si tuto smlouvu řádně přečetly, jejímu obsahu rozumí a že tento vyjadřuje jejich pravou, svobodnou, vážnou a omylu prostou vůli. </w:t>
      </w:r>
      <w:r w:rsidRPr="00D60BD6">
        <w:rPr>
          <w:rFonts w:ascii="Calibri" w:hAnsi="Calibri" w:cs="Calibri"/>
          <w:sz w:val="22"/>
          <w:szCs w:val="22"/>
        </w:rPr>
        <w:lastRenderedPageBreak/>
        <w:t xml:space="preserve">Dále výslovně prohlašují, že tuto smlouvu neuzavírají ani v tísni, ani neshledávají, že by tato smlouva obsahovala jakékoli nápadně nevýhodné podmínky. </w:t>
      </w:r>
    </w:p>
    <w:p w14:paraId="4E1292ED" w14:textId="77777777" w:rsidR="00601D81" w:rsidRPr="00D60BD6" w:rsidRDefault="00601D81" w:rsidP="00601D81">
      <w:pPr>
        <w:pStyle w:val="Zkladntext"/>
        <w:numPr>
          <w:ilvl w:val="0"/>
          <w:numId w:val="6"/>
        </w:numPr>
        <w:spacing w:before="60" w:after="60"/>
        <w:rPr>
          <w:rFonts w:ascii="Calibri" w:hAnsi="Calibri" w:cs="Calibri"/>
          <w:sz w:val="22"/>
          <w:szCs w:val="22"/>
        </w:rPr>
      </w:pPr>
      <w:r w:rsidRPr="00D60BD6">
        <w:rPr>
          <w:rFonts w:ascii="Calibri" w:hAnsi="Calibri" w:cs="Calibri"/>
          <w:sz w:val="22"/>
          <w:szCs w:val="22"/>
        </w:rPr>
        <w:t xml:space="preserve">Osoby uzavírající tuto smlouvu za pronajímatele a nájemce výslovně podpisem této smlouvy vědomy si právních důsledků případného nepravdivého prohlášení prohlašují, že jsou oprávněny tuto smlouvu tak, jak je sepsána a způsobem, jak tak učinily, tuto takto uzavřít. </w:t>
      </w:r>
    </w:p>
    <w:p w14:paraId="399B6FF4" w14:textId="77777777" w:rsidR="00601D81" w:rsidRPr="00D60BD6" w:rsidRDefault="00601D81" w:rsidP="00601D81">
      <w:pPr>
        <w:pStyle w:val="Zkladntext"/>
        <w:numPr>
          <w:ilvl w:val="0"/>
          <w:numId w:val="6"/>
        </w:numPr>
        <w:spacing w:before="60" w:after="60"/>
        <w:rPr>
          <w:rFonts w:ascii="Calibri" w:hAnsi="Calibri" w:cs="Calibri"/>
          <w:sz w:val="22"/>
          <w:szCs w:val="22"/>
        </w:rPr>
      </w:pPr>
      <w:r w:rsidRPr="00D60BD6">
        <w:rPr>
          <w:rFonts w:ascii="Calibri" w:hAnsi="Calibri" w:cs="Calibri"/>
          <w:sz w:val="22"/>
          <w:szCs w:val="22"/>
        </w:rPr>
        <w:t>Tam, kde smlouva nestanoví jinak, použije se pro posuzování práv a povinností smluvních stran občanský zákoník v platném znění.</w:t>
      </w:r>
    </w:p>
    <w:p w14:paraId="1B22C606" w14:textId="77777777" w:rsidR="00601D81" w:rsidRPr="00D60BD6" w:rsidRDefault="00601D81" w:rsidP="00601D81">
      <w:pPr>
        <w:pStyle w:val="Zkladntext"/>
        <w:numPr>
          <w:ilvl w:val="0"/>
          <w:numId w:val="6"/>
        </w:numPr>
        <w:spacing w:before="60" w:after="60"/>
        <w:rPr>
          <w:rFonts w:ascii="Calibri" w:hAnsi="Calibri" w:cs="Calibri"/>
          <w:sz w:val="22"/>
          <w:szCs w:val="22"/>
        </w:rPr>
      </w:pPr>
      <w:r w:rsidRPr="00D60BD6">
        <w:rPr>
          <w:rFonts w:ascii="Calibri" w:hAnsi="Calibri" w:cs="Calibri"/>
          <w:sz w:val="22"/>
          <w:szCs w:val="22"/>
        </w:rPr>
        <w:t xml:space="preserve">Tato smlouva se sepisuje ve dvou vyhotoveních, z nichž obě mají platnost originálu, každá ze stran této smlouvy </w:t>
      </w:r>
      <w:proofErr w:type="gramStart"/>
      <w:r w:rsidRPr="00D60BD6">
        <w:rPr>
          <w:rFonts w:ascii="Calibri" w:hAnsi="Calibri" w:cs="Calibri"/>
          <w:sz w:val="22"/>
          <w:szCs w:val="22"/>
        </w:rPr>
        <w:t>obdrží</w:t>
      </w:r>
      <w:proofErr w:type="gramEnd"/>
      <w:r w:rsidRPr="00D60BD6">
        <w:rPr>
          <w:rFonts w:ascii="Calibri" w:hAnsi="Calibri" w:cs="Calibri"/>
          <w:sz w:val="22"/>
          <w:szCs w:val="22"/>
        </w:rPr>
        <w:t xml:space="preserve"> po jednom.</w:t>
      </w:r>
    </w:p>
    <w:p w14:paraId="20139A9D" w14:textId="1A7EE636" w:rsidR="00601D81" w:rsidRPr="00D60BD6" w:rsidRDefault="008D4A0D" w:rsidP="008D4A0D">
      <w:pPr>
        <w:pStyle w:val="Zkladntext"/>
        <w:numPr>
          <w:ilvl w:val="0"/>
          <w:numId w:val="6"/>
        </w:numPr>
        <w:spacing w:before="60" w:after="60"/>
        <w:rPr>
          <w:rFonts w:ascii="Calibri" w:hAnsi="Calibri" w:cs="Calibri"/>
          <w:sz w:val="22"/>
          <w:szCs w:val="22"/>
        </w:rPr>
      </w:pPr>
      <w:r w:rsidRPr="008D4A0D">
        <w:rPr>
          <w:rFonts w:asciiTheme="minorHAnsi" w:hAnsiTheme="minorHAnsi" w:cs="Tahoma"/>
          <w:sz w:val="22"/>
          <w:szCs w:val="22"/>
        </w:rPr>
        <w:t>Tato smlouva nabývá platnosti dnem podpisu oběma smluvními stranami a účinnosti dnem zveřejnění v registru smluv, a to v souladu se zákonem č. 340/2015 Sb., o registru smluv.</w:t>
      </w:r>
    </w:p>
    <w:p w14:paraId="082B9407" w14:textId="0ADA8931" w:rsidR="0002703C" w:rsidRDefault="0002703C" w:rsidP="00601D81">
      <w:pPr>
        <w:jc w:val="both"/>
        <w:rPr>
          <w:rFonts w:asciiTheme="minorHAnsi" w:hAnsiTheme="minorHAnsi" w:cs="Tahoma"/>
          <w:sz w:val="22"/>
          <w:szCs w:val="22"/>
        </w:rPr>
      </w:pPr>
    </w:p>
    <w:p w14:paraId="7CCDDC90" w14:textId="77777777" w:rsidR="0002703C" w:rsidRPr="00D60BD6" w:rsidRDefault="0002703C" w:rsidP="00601D81">
      <w:pPr>
        <w:jc w:val="both"/>
        <w:rPr>
          <w:rFonts w:asciiTheme="minorHAnsi" w:hAnsiTheme="minorHAnsi" w:cs="Tahoma"/>
          <w:sz w:val="22"/>
          <w:szCs w:val="22"/>
        </w:rPr>
      </w:pPr>
    </w:p>
    <w:tbl>
      <w:tblPr>
        <w:tblW w:w="0" w:type="auto"/>
        <w:tblCellMar>
          <w:left w:w="70" w:type="dxa"/>
          <w:right w:w="70" w:type="dxa"/>
        </w:tblCellMar>
        <w:tblLook w:val="0000" w:firstRow="0" w:lastRow="0" w:firstColumn="0" w:lastColumn="0" w:noHBand="0" w:noVBand="0"/>
      </w:tblPr>
      <w:tblGrid>
        <w:gridCol w:w="4535"/>
        <w:gridCol w:w="4535"/>
      </w:tblGrid>
      <w:tr w:rsidR="00601D81" w:rsidRPr="00D60BD6" w14:paraId="41CF7F36" w14:textId="77777777" w:rsidTr="00BC2B9B">
        <w:tc>
          <w:tcPr>
            <w:tcW w:w="4605" w:type="dxa"/>
          </w:tcPr>
          <w:p w14:paraId="6A3FBE1E" w14:textId="77777777" w:rsidR="00601D81" w:rsidRPr="00D60BD6" w:rsidRDefault="00601D81" w:rsidP="00BC2B9B">
            <w:pPr>
              <w:pStyle w:val="Zkladntext"/>
              <w:rPr>
                <w:rFonts w:asciiTheme="minorHAnsi" w:hAnsiTheme="minorHAnsi" w:cs="Tahoma"/>
                <w:sz w:val="22"/>
                <w:szCs w:val="22"/>
              </w:rPr>
            </w:pPr>
            <w:r w:rsidRPr="00D60BD6">
              <w:rPr>
                <w:rFonts w:asciiTheme="minorHAnsi" w:hAnsiTheme="minorHAnsi" w:cs="Tahoma"/>
                <w:sz w:val="22"/>
                <w:szCs w:val="22"/>
              </w:rPr>
              <w:t>V Brně dne ……………………</w:t>
            </w:r>
          </w:p>
        </w:tc>
        <w:tc>
          <w:tcPr>
            <w:tcW w:w="4605" w:type="dxa"/>
          </w:tcPr>
          <w:p w14:paraId="2A6D652F" w14:textId="2A639745" w:rsidR="00601D81" w:rsidRPr="00D60BD6" w:rsidRDefault="00601D81" w:rsidP="00BC2B9B">
            <w:pPr>
              <w:pStyle w:val="Zkladntext"/>
              <w:rPr>
                <w:rFonts w:asciiTheme="minorHAnsi" w:hAnsiTheme="minorHAnsi" w:cs="Tahoma"/>
                <w:sz w:val="22"/>
                <w:szCs w:val="22"/>
              </w:rPr>
            </w:pPr>
            <w:r w:rsidRPr="00D60BD6">
              <w:rPr>
                <w:rFonts w:asciiTheme="minorHAnsi" w:hAnsiTheme="minorHAnsi" w:cs="Tahoma"/>
                <w:sz w:val="22"/>
                <w:szCs w:val="22"/>
              </w:rPr>
              <w:t>V</w:t>
            </w:r>
            <w:r>
              <w:rPr>
                <w:rFonts w:asciiTheme="minorHAnsi" w:hAnsiTheme="minorHAnsi" w:cs="Tahoma"/>
                <w:sz w:val="22"/>
                <w:szCs w:val="22"/>
              </w:rPr>
              <w:t xml:space="preserve"> </w:t>
            </w:r>
            <w:r w:rsidR="0002703C">
              <w:rPr>
                <w:rFonts w:asciiTheme="minorHAnsi" w:hAnsiTheme="minorHAnsi" w:cs="Tahoma"/>
                <w:sz w:val="22"/>
                <w:szCs w:val="22"/>
              </w:rPr>
              <w:t>Brně</w:t>
            </w:r>
            <w:r>
              <w:rPr>
                <w:rFonts w:asciiTheme="minorHAnsi" w:hAnsiTheme="minorHAnsi" w:cs="Tahoma"/>
                <w:sz w:val="22"/>
                <w:szCs w:val="22"/>
              </w:rPr>
              <w:t xml:space="preserve"> </w:t>
            </w:r>
            <w:r w:rsidRPr="00D60BD6">
              <w:rPr>
                <w:rFonts w:asciiTheme="minorHAnsi" w:hAnsiTheme="minorHAnsi" w:cs="Tahoma"/>
                <w:sz w:val="22"/>
                <w:szCs w:val="22"/>
              </w:rPr>
              <w:t>dne ……………………</w:t>
            </w:r>
          </w:p>
        </w:tc>
      </w:tr>
    </w:tbl>
    <w:p w14:paraId="50500ADD" w14:textId="77777777" w:rsidR="00601D81" w:rsidRPr="00D60BD6" w:rsidRDefault="00601D81" w:rsidP="00601D81">
      <w:pPr>
        <w:pStyle w:val="Zkladntext"/>
        <w:rPr>
          <w:rFonts w:asciiTheme="minorHAnsi" w:hAnsiTheme="minorHAnsi" w:cs="Tahoma"/>
          <w:sz w:val="22"/>
          <w:szCs w:val="22"/>
        </w:rPr>
      </w:pPr>
    </w:p>
    <w:tbl>
      <w:tblPr>
        <w:tblW w:w="0" w:type="auto"/>
        <w:tblCellMar>
          <w:left w:w="70" w:type="dxa"/>
          <w:right w:w="70" w:type="dxa"/>
        </w:tblCellMar>
        <w:tblLook w:val="0000" w:firstRow="0" w:lastRow="0" w:firstColumn="0" w:lastColumn="0" w:noHBand="0" w:noVBand="0"/>
      </w:tblPr>
      <w:tblGrid>
        <w:gridCol w:w="4534"/>
        <w:gridCol w:w="4536"/>
      </w:tblGrid>
      <w:tr w:rsidR="00601D81" w:rsidRPr="00D60BD6" w14:paraId="29FFEFEF" w14:textId="77777777" w:rsidTr="00BC2B9B">
        <w:tc>
          <w:tcPr>
            <w:tcW w:w="4534" w:type="dxa"/>
          </w:tcPr>
          <w:p w14:paraId="29BDAEBB" w14:textId="77777777" w:rsidR="00601D81" w:rsidRPr="00D60BD6" w:rsidRDefault="00601D81" w:rsidP="00BC2B9B">
            <w:pPr>
              <w:rPr>
                <w:rFonts w:asciiTheme="minorHAnsi" w:hAnsiTheme="minorHAnsi" w:cs="Tahoma"/>
                <w:sz w:val="22"/>
                <w:szCs w:val="22"/>
              </w:rPr>
            </w:pPr>
            <w:r w:rsidRPr="00D60BD6">
              <w:rPr>
                <w:rFonts w:asciiTheme="minorHAnsi" w:hAnsiTheme="minorHAnsi" w:cs="Tahoma"/>
                <w:sz w:val="22"/>
                <w:szCs w:val="22"/>
              </w:rPr>
              <w:t>Za pronajímatele:</w:t>
            </w:r>
          </w:p>
        </w:tc>
        <w:tc>
          <w:tcPr>
            <w:tcW w:w="4536" w:type="dxa"/>
          </w:tcPr>
          <w:p w14:paraId="6CE50BBB" w14:textId="77777777" w:rsidR="00601D81" w:rsidRPr="00D60BD6" w:rsidRDefault="00601D81" w:rsidP="00BC2B9B">
            <w:pPr>
              <w:rPr>
                <w:rFonts w:asciiTheme="minorHAnsi" w:hAnsiTheme="minorHAnsi" w:cs="Tahoma"/>
                <w:sz w:val="22"/>
                <w:szCs w:val="22"/>
              </w:rPr>
            </w:pPr>
            <w:r w:rsidRPr="00D60BD6">
              <w:rPr>
                <w:rFonts w:asciiTheme="minorHAnsi" w:hAnsiTheme="minorHAnsi" w:cs="Tahoma"/>
                <w:sz w:val="22"/>
                <w:szCs w:val="22"/>
              </w:rPr>
              <w:t>Za nájemce:</w:t>
            </w:r>
          </w:p>
        </w:tc>
      </w:tr>
      <w:tr w:rsidR="00601D81" w:rsidRPr="00D60BD6" w14:paraId="66AD03E6" w14:textId="77777777" w:rsidTr="00BC2B9B">
        <w:tc>
          <w:tcPr>
            <w:tcW w:w="4534" w:type="dxa"/>
          </w:tcPr>
          <w:p w14:paraId="5AA465FC" w14:textId="77777777" w:rsidR="00601D81" w:rsidRPr="00D60BD6" w:rsidRDefault="00601D81" w:rsidP="00BC2B9B">
            <w:pPr>
              <w:pStyle w:val="Zkladntext"/>
              <w:rPr>
                <w:rFonts w:asciiTheme="minorHAnsi" w:hAnsiTheme="minorHAnsi" w:cs="Tahoma"/>
                <w:sz w:val="22"/>
                <w:szCs w:val="22"/>
              </w:rPr>
            </w:pPr>
          </w:p>
        </w:tc>
        <w:tc>
          <w:tcPr>
            <w:tcW w:w="4536" w:type="dxa"/>
          </w:tcPr>
          <w:p w14:paraId="6FE95D4B" w14:textId="77777777" w:rsidR="00601D81" w:rsidRPr="00D60BD6" w:rsidRDefault="00601D81" w:rsidP="00BC2B9B">
            <w:pPr>
              <w:pStyle w:val="Zkladntext"/>
              <w:rPr>
                <w:rFonts w:asciiTheme="minorHAnsi" w:hAnsiTheme="minorHAnsi" w:cs="Tahoma"/>
                <w:sz w:val="22"/>
                <w:szCs w:val="22"/>
              </w:rPr>
            </w:pPr>
          </w:p>
        </w:tc>
      </w:tr>
      <w:tr w:rsidR="00601D81" w:rsidRPr="00D60BD6" w14:paraId="3784F6D8" w14:textId="77777777" w:rsidTr="00BC2B9B">
        <w:tc>
          <w:tcPr>
            <w:tcW w:w="4534" w:type="dxa"/>
          </w:tcPr>
          <w:p w14:paraId="167B7FED" w14:textId="77777777" w:rsidR="00601D81" w:rsidRPr="00D60BD6" w:rsidRDefault="00601D81" w:rsidP="00BC2B9B">
            <w:pPr>
              <w:pStyle w:val="Zkladntext"/>
              <w:rPr>
                <w:rFonts w:asciiTheme="minorHAnsi" w:hAnsiTheme="minorHAnsi" w:cs="Tahoma"/>
                <w:sz w:val="22"/>
                <w:szCs w:val="22"/>
              </w:rPr>
            </w:pPr>
          </w:p>
        </w:tc>
        <w:tc>
          <w:tcPr>
            <w:tcW w:w="4536" w:type="dxa"/>
          </w:tcPr>
          <w:p w14:paraId="1AE753C2" w14:textId="77777777" w:rsidR="00601D81" w:rsidRPr="00D60BD6" w:rsidRDefault="00601D81" w:rsidP="00BC2B9B">
            <w:pPr>
              <w:pStyle w:val="Zkladntext"/>
              <w:rPr>
                <w:rFonts w:asciiTheme="minorHAnsi" w:hAnsiTheme="minorHAnsi" w:cs="Tahoma"/>
                <w:sz w:val="22"/>
                <w:szCs w:val="22"/>
              </w:rPr>
            </w:pPr>
          </w:p>
        </w:tc>
      </w:tr>
      <w:tr w:rsidR="00601D81" w:rsidRPr="00D60BD6" w14:paraId="3559D722" w14:textId="77777777" w:rsidTr="00BC2B9B">
        <w:tc>
          <w:tcPr>
            <w:tcW w:w="4534" w:type="dxa"/>
          </w:tcPr>
          <w:p w14:paraId="02FE8D3F" w14:textId="77777777" w:rsidR="00601D81" w:rsidRPr="00D60BD6" w:rsidRDefault="00601D81" w:rsidP="00BC2B9B">
            <w:pPr>
              <w:pStyle w:val="Zkladntext"/>
              <w:rPr>
                <w:rFonts w:asciiTheme="minorHAnsi" w:hAnsiTheme="minorHAnsi" w:cs="Tahoma"/>
                <w:sz w:val="22"/>
                <w:szCs w:val="22"/>
              </w:rPr>
            </w:pPr>
          </w:p>
        </w:tc>
        <w:tc>
          <w:tcPr>
            <w:tcW w:w="4536" w:type="dxa"/>
          </w:tcPr>
          <w:p w14:paraId="7A7D5604" w14:textId="77777777" w:rsidR="00601D81" w:rsidRPr="00D60BD6" w:rsidRDefault="00601D81" w:rsidP="00BC2B9B">
            <w:pPr>
              <w:pStyle w:val="Zkladntext"/>
              <w:rPr>
                <w:rFonts w:asciiTheme="minorHAnsi" w:hAnsiTheme="minorHAnsi" w:cs="Tahoma"/>
                <w:sz w:val="22"/>
                <w:szCs w:val="22"/>
              </w:rPr>
            </w:pPr>
          </w:p>
        </w:tc>
      </w:tr>
      <w:tr w:rsidR="00601D81" w:rsidRPr="00D60BD6" w14:paraId="4682E6C9" w14:textId="77777777" w:rsidTr="00BC2B9B">
        <w:tc>
          <w:tcPr>
            <w:tcW w:w="4534" w:type="dxa"/>
          </w:tcPr>
          <w:p w14:paraId="529F11AF" w14:textId="77777777" w:rsidR="00601D81" w:rsidRPr="00D60BD6" w:rsidRDefault="00601D81" w:rsidP="00BC2B9B">
            <w:pPr>
              <w:pStyle w:val="Zkladntext"/>
              <w:jc w:val="center"/>
              <w:rPr>
                <w:rFonts w:asciiTheme="minorHAnsi" w:hAnsiTheme="minorHAnsi" w:cs="Tahoma"/>
                <w:sz w:val="22"/>
                <w:szCs w:val="22"/>
              </w:rPr>
            </w:pPr>
            <w:r w:rsidRPr="00D60BD6">
              <w:rPr>
                <w:rFonts w:asciiTheme="minorHAnsi" w:hAnsiTheme="minorHAnsi" w:cs="Tahoma"/>
                <w:sz w:val="22"/>
                <w:szCs w:val="22"/>
              </w:rPr>
              <w:t>. . . . . . . . . . . . . . . . . . . . . . . . . . . . .</w:t>
            </w:r>
          </w:p>
        </w:tc>
        <w:tc>
          <w:tcPr>
            <w:tcW w:w="4536" w:type="dxa"/>
          </w:tcPr>
          <w:p w14:paraId="3B765AB7" w14:textId="77777777" w:rsidR="00601D81" w:rsidRPr="00D60BD6" w:rsidRDefault="00601D81" w:rsidP="00BC2B9B">
            <w:pPr>
              <w:pStyle w:val="Zkladntext"/>
              <w:jc w:val="center"/>
              <w:rPr>
                <w:rFonts w:asciiTheme="minorHAnsi" w:hAnsiTheme="minorHAnsi" w:cs="Tahoma"/>
                <w:sz w:val="22"/>
                <w:szCs w:val="22"/>
              </w:rPr>
            </w:pPr>
            <w:r w:rsidRPr="00D60BD6">
              <w:rPr>
                <w:rFonts w:asciiTheme="minorHAnsi" w:hAnsiTheme="minorHAnsi" w:cs="Tahoma"/>
                <w:sz w:val="22"/>
                <w:szCs w:val="22"/>
              </w:rPr>
              <w:t>. . . . . . . . . . . . . . . . . . . . . . . . . . . . .</w:t>
            </w:r>
          </w:p>
        </w:tc>
      </w:tr>
    </w:tbl>
    <w:p w14:paraId="2E90C67B" w14:textId="77777777" w:rsidR="009C4BF0" w:rsidRDefault="00B671CD" w:rsidP="0002703C"/>
    <w:sectPr w:rsidR="009C4BF0" w:rsidSect="0002703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924"/>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E6F495C"/>
    <w:multiLevelType w:val="singleLevel"/>
    <w:tmpl w:val="31CA910E"/>
    <w:lvl w:ilvl="0">
      <w:start w:val="1"/>
      <w:numFmt w:val="decimal"/>
      <w:lvlText w:val="%1."/>
      <w:lvlJc w:val="left"/>
      <w:pPr>
        <w:tabs>
          <w:tab w:val="num" w:pos="360"/>
        </w:tabs>
        <w:ind w:left="360" w:hanging="360"/>
      </w:pPr>
      <w:rPr>
        <w:rFonts w:ascii="Calibri" w:hAnsi="Calibri" w:cs="Calibri"/>
      </w:rPr>
    </w:lvl>
  </w:abstractNum>
  <w:abstractNum w:abstractNumId="2" w15:restartNumberingAfterBreak="0">
    <w:nsid w:val="40734490"/>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55FF52B7"/>
    <w:multiLevelType w:val="hybridMultilevel"/>
    <w:tmpl w:val="1C403E6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59636FB8"/>
    <w:multiLevelType w:val="hybridMultilevel"/>
    <w:tmpl w:val="752CA88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68A6087F"/>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6CE84073"/>
    <w:multiLevelType w:val="hybridMultilevel"/>
    <w:tmpl w:val="752CA88C"/>
    <w:lvl w:ilvl="0" w:tplc="0405000F">
      <w:start w:val="1"/>
      <w:numFmt w:val="decimal"/>
      <w:lvlText w:val="%1."/>
      <w:lvlJc w:val="left"/>
      <w:pPr>
        <w:tabs>
          <w:tab w:val="num" w:pos="360"/>
        </w:tabs>
        <w:ind w:left="360" w:hanging="360"/>
      </w:pPr>
    </w:lvl>
    <w:lvl w:ilvl="1" w:tplc="04050001">
      <w:numFmt w:val="decimal"/>
      <w:lvlText w:val=""/>
      <w:lvlJc w:val="left"/>
      <w:pPr>
        <w:tabs>
          <w:tab w:val="num" w:pos="1080"/>
        </w:tabs>
        <w:ind w:left="1080" w:hanging="360"/>
      </w:pPr>
      <w:rPr>
        <w:rFonts w:ascii="Symbol" w:hAnsi="Symbol" w:cs="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71A51086"/>
    <w:multiLevelType w:val="hybridMultilevel"/>
    <w:tmpl w:val="3156193C"/>
    <w:lvl w:ilvl="0" w:tplc="6C80FBB6">
      <w:start w:val="2"/>
      <w:numFmt w:val="bullet"/>
      <w:lvlText w:val="-"/>
      <w:lvlJc w:val="left"/>
      <w:pPr>
        <w:ind w:left="717" w:hanging="360"/>
      </w:pPr>
      <w:rPr>
        <w:rFonts w:ascii="Calibri" w:eastAsia="Times New Roman"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7E9605EA"/>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7F49585E"/>
    <w:multiLevelType w:val="multilevel"/>
    <w:tmpl w:val="C02CD160"/>
    <w:lvl w:ilvl="0">
      <w:start w:val="5"/>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1757945648">
    <w:abstractNumId w:val="5"/>
    <w:lvlOverride w:ilvl="0">
      <w:startOverride w:val="1"/>
    </w:lvlOverride>
  </w:num>
  <w:num w:numId="2" w16cid:durableId="1991665973">
    <w:abstractNumId w:val="2"/>
    <w:lvlOverride w:ilvl="0">
      <w:startOverride w:val="1"/>
    </w:lvlOverride>
  </w:num>
  <w:num w:numId="3" w16cid:durableId="900942163">
    <w:abstractNumId w:val="0"/>
    <w:lvlOverride w:ilvl="0">
      <w:startOverride w:val="1"/>
    </w:lvlOverride>
  </w:num>
  <w:num w:numId="4" w16cid:durableId="1921795249">
    <w:abstractNumId w:val="8"/>
    <w:lvlOverride w:ilvl="0">
      <w:startOverride w:val="1"/>
    </w:lvlOverride>
  </w:num>
  <w:num w:numId="5" w16cid:durableId="213085000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4380406">
    <w:abstractNumId w:val="1"/>
    <w:lvlOverride w:ilvl="0">
      <w:startOverride w:val="1"/>
    </w:lvlOverride>
  </w:num>
  <w:num w:numId="7" w16cid:durableId="1725640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166857">
    <w:abstractNumId w:val="7"/>
  </w:num>
  <w:num w:numId="9" w16cid:durableId="192236963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9750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81"/>
    <w:rsid w:val="0002703C"/>
    <w:rsid w:val="000D1036"/>
    <w:rsid w:val="0016030F"/>
    <w:rsid w:val="001B40FC"/>
    <w:rsid w:val="00225D73"/>
    <w:rsid w:val="00235672"/>
    <w:rsid w:val="002F06FB"/>
    <w:rsid w:val="00475657"/>
    <w:rsid w:val="00486DDF"/>
    <w:rsid w:val="00573167"/>
    <w:rsid w:val="00601D81"/>
    <w:rsid w:val="007B2AF3"/>
    <w:rsid w:val="008D4A0D"/>
    <w:rsid w:val="009642B0"/>
    <w:rsid w:val="00A27DDD"/>
    <w:rsid w:val="00B671CD"/>
    <w:rsid w:val="00C015F6"/>
    <w:rsid w:val="00D411C4"/>
    <w:rsid w:val="00DC53B4"/>
    <w:rsid w:val="00DF3878"/>
    <w:rsid w:val="00E87594"/>
    <w:rsid w:val="00EF01AD"/>
    <w:rsid w:val="00F307E2"/>
    <w:rsid w:val="00F32A15"/>
    <w:rsid w:val="00FD5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5EFE"/>
  <w15:chartTrackingRefBased/>
  <w15:docId w15:val="{93771CF5-0D18-47CA-A83E-F499556F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1D8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601D81"/>
    <w:pPr>
      <w:keepNext/>
      <w:jc w:val="center"/>
      <w:outlineLvl w:val="1"/>
    </w:pPr>
    <w:rPr>
      <w:rFonts w:ascii="Arial Narrow" w:hAnsi="Arial Narrow" w:cs="Arial Narro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601D81"/>
    <w:rPr>
      <w:rFonts w:ascii="Arial Narrow" w:eastAsia="Times New Roman" w:hAnsi="Arial Narrow" w:cs="Arial Narrow"/>
      <w:b/>
      <w:bCs/>
      <w:sz w:val="24"/>
      <w:szCs w:val="24"/>
      <w:lang w:eastAsia="cs-CZ"/>
    </w:rPr>
  </w:style>
  <w:style w:type="paragraph" w:styleId="Nzev">
    <w:name w:val="Title"/>
    <w:basedOn w:val="Normln"/>
    <w:link w:val="NzevChar"/>
    <w:qFormat/>
    <w:rsid w:val="00601D81"/>
    <w:pPr>
      <w:jc w:val="center"/>
    </w:pPr>
    <w:rPr>
      <w:b/>
      <w:bCs/>
      <w:sz w:val="28"/>
      <w:szCs w:val="28"/>
    </w:rPr>
  </w:style>
  <w:style w:type="character" w:customStyle="1" w:styleId="NzevChar">
    <w:name w:val="Název Char"/>
    <w:basedOn w:val="Standardnpsmoodstavce"/>
    <w:link w:val="Nzev"/>
    <w:rsid w:val="00601D81"/>
    <w:rPr>
      <w:rFonts w:ascii="Times New Roman" w:eastAsia="Times New Roman" w:hAnsi="Times New Roman" w:cs="Times New Roman"/>
      <w:b/>
      <w:bCs/>
      <w:sz w:val="28"/>
      <w:szCs w:val="28"/>
      <w:lang w:eastAsia="cs-CZ"/>
    </w:rPr>
  </w:style>
  <w:style w:type="paragraph" w:styleId="Zkladntext">
    <w:name w:val="Body Text"/>
    <w:basedOn w:val="Normln"/>
    <w:link w:val="ZkladntextChar"/>
    <w:uiPriority w:val="99"/>
    <w:semiHidden/>
    <w:rsid w:val="00601D81"/>
    <w:pPr>
      <w:jc w:val="both"/>
    </w:pPr>
  </w:style>
  <w:style w:type="character" w:customStyle="1" w:styleId="ZkladntextChar">
    <w:name w:val="Základní text Char"/>
    <w:basedOn w:val="Standardnpsmoodstavce"/>
    <w:link w:val="Zkladntext"/>
    <w:uiPriority w:val="99"/>
    <w:semiHidden/>
    <w:rsid w:val="00601D81"/>
    <w:rPr>
      <w:rFonts w:ascii="Times New Roman" w:eastAsia="Times New Roman" w:hAnsi="Times New Roman" w:cs="Times New Roman"/>
      <w:sz w:val="24"/>
      <w:szCs w:val="24"/>
      <w:lang w:eastAsia="cs-CZ"/>
    </w:rPr>
  </w:style>
  <w:style w:type="paragraph" w:customStyle="1" w:styleId="Default">
    <w:name w:val="Default"/>
    <w:rsid w:val="00601D81"/>
    <w:pPr>
      <w:autoSpaceDE w:val="0"/>
      <w:autoSpaceDN w:val="0"/>
      <w:adjustRightInd w:val="0"/>
      <w:spacing w:after="0" w:line="240" w:lineRule="auto"/>
    </w:pPr>
    <w:rPr>
      <w:rFonts w:ascii="Calibri" w:hAnsi="Calibri" w:cs="Calibri"/>
      <w:color w:val="000000"/>
      <w:sz w:val="24"/>
      <w:szCs w:val="24"/>
    </w:rPr>
  </w:style>
  <w:style w:type="character" w:styleId="Zdraznn">
    <w:name w:val="Emphasis"/>
    <w:basedOn w:val="Standardnpsmoodstavce"/>
    <w:uiPriority w:val="20"/>
    <w:qFormat/>
    <w:rsid w:val="00601D81"/>
    <w:rPr>
      <w:i/>
      <w:iCs/>
    </w:rPr>
  </w:style>
  <w:style w:type="paragraph" w:styleId="Odstavecseseznamem">
    <w:name w:val="List Paragraph"/>
    <w:basedOn w:val="Normln"/>
    <w:uiPriority w:val="34"/>
    <w:qFormat/>
    <w:rsid w:val="00601D81"/>
    <w:pPr>
      <w:ind w:left="720"/>
      <w:contextualSpacing/>
    </w:pPr>
  </w:style>
  <w:style w:type="character" w:styleId="Odkaznakoment">
    <w:name w:val="annotation reference"/>
    <w:basedOn w:val="Standardnpsmoodstavce"/>
    <w:uiPriority w:val="99"/>
    <w:semiHidden/>
    <w:unhideWhenUsed/>
    <w:rsid w:val="00A27DDD"/>
    <w:rPr>
      <w:sz w:val="16"/>
      <w:szCs w:val="16"/>
    </w:rPr>
  </w:style>
  <w:style w:type="paragraph" w:styleId="Textkomente">
    <w:name w:val="annotation text"/>
    <w:basedOn w:val="Normln"/>
    <w:link w:val="TextkomenteChar"/>
    <w:uiPriority w:val="99"/>
    <w:semiHidden/>
    <w:unhideWhenUsed/>
    <w:rsid w:val="00A27DDD"/>
    <w:rPr>
      <w:sz w:val="20"/>
      <w:szCs w:val="20"/>
    </w:rPr>
  </w:style>
  <w:style w:type="character" w:customStyle="1" w:styleId="TextkomenteChar">
    <w:name w:val="Text komentáře Char"/>
    <w:basedOn w:val="Standardnpsmoodstavce"/>
    <w:link w:val="Textkomente"/>
    <w:uiPriority w:val="99"/>
    <w:semiHidden/>
    <w:rsid w:val="00A27DD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27DDD"/>
    <w:rPr>
      <w:b/>
      <w:bCs/>
    </w:rPr>
  </w:style>
  <w:style w:type="character" w:customStyle="1" w:styleId="PedmtkomenteChar">
    <w:name w:val="Předmět komentáře Char"/>
    <w:basedOn w:val="TextkomenteChar"/>
    <w:link w:val="Pedmtkomente"/>
    <w:uiPriority w:val="99"/>
    <w:semiHidden/>
    <w:rsid w:val="00A27DD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27D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7DDD"/>
    <w:rPr>
      <w:rFonts w:ascii="Segoe UI" w:eastAsia="Times New Roman" w:hAnsi="Segoe UI" w:cs="Segoe UI"/>
      <w:sz w:val="18"/>
      <w:szCs w:val="18"/>
      <w:lang w:eastAsia="cs-CZ"/>
    </w:rPr>
  </w:style>
  <w:style w:type="paragraph" w:customStyle="1" w:styleId="BBHeading1">
    <w:name w:val="B&amp;B Heading 1"/>
    <w:basedOn w:val="Zkladntext"/>
    <w:next w:val="Normln"/>
    <w:rsid w:val="00E87594"/>
    <w:pPr>
      <w:keepNext/>
      <w:numPr>
        <w:numId w:val="10"/>
      </w:numPr>
      <w:tabs>
        <w:tab w:val="clear" w:pos="720"/>
        <w:tab w:val="num" w:pos="360"/>
      </w:tabs>
      <w:spacing w:before="120" w:after="240"/>
      <w:ind w:left="0" w:firstLine="0"/>
      <w:outlineLvl w:val="0"/>
    </w:pPr>
    <w:rPr>
      <w:b/>
      <w:caps/>
      <w:lang w:val="en-GB" w:eastAsia="en-GB"/>
    </w:rPr>
  </w:style>
  <w:style w:type="paragraph" w:customStyle="1" w:styleId="BBClause2">
    <w:name w:val="B&amp;B Clause 2"/>
    <w:basedOn w:val="BBHeading2"/>
    <w:rsid w:val="00E87594"/>
    <w:pPr>
      <w:keepNext w:val="0"/>
    </w:pPr>
    <w:rPr>
      <w:b w:val="0"/>
    </w:rPr>
  </w:style>
  <w:style w:type="paragraph" w:customStyle="1" w:styleId="BBHeading2">
    <w:name w:val="B&amp;B Heading 2"/>
    <w:basedOn w:val="BBHeading1"/>
    <w:next w:val="Normln"/>
    <w:rsid w:val="00E87594"/>
    <w:pPr>
      <w:numPr>
        <w:ilvl w:val="1"/>
      </w:numPr>
      <w:tabs>
        <w:tab w:val="clear" w:pos="720"/>
        <w:tab w:val="num" w:pos="360"/>
        <w:tab w:val="num" w:pos="1440"/>
      </w:tabs>
      <w:spacing w:before="0"/>
      <w:ind w:left="1440" w:hanging="360"/>
      <w:outlineLvl w:val="1"/>
    </w:pPr>
    <w:rPr>
      <w:caps w:val="0"/>
    </w:rPr>
  </w:style>
  <w:style w:type="paragraph" w:customStyle="1" w:styleId="BBHeading6">
    <w:name w:val="B&amp;B Heading 6"/>
    <w:basedOn w:val="BBHeading5"/>
    <w:next w:val="Normln"/>
    <w:rsid w:val="00E87594"/>
    <w:pPr>
      <w:numPr>
        <w:ilvl w:val="5"/>
      </w:numPr>
      <w:tabs>
        <w:tab w:val="clear" w:pos="3597"/>
        <w:tab w:val="num" w:pos="360"/>
        <w:tab w:val="num" w:pos="1440"/>
        <w:tab w:val="left" w:pos="3238"/>
        <w:tab w:val="num" w:pos="4320"/>
      </w:tabs>
      <w:ind w:left="4320" w:hanging="180"/>
      <w:outlineLvl w:val="5"/>
    </w:pPr>
  </w:style>
  <w:style w:type="paragraph" w:customStyle="1" w:styleId="BBHeading5">
    <w:name w:val="B&amp;B Heading 5"/>
    <w:basedOn w:val="BBHeading4"/>
    <w:next w:val="Normln"/>
    <w:rsid w:val="00E87594"/>
    <w:pPr>
      <w:numPr>
        <w:ilvl w:val="4"/>
      </w:numPr>
      <w:tabs>
        <w:tab w:val="clear" w:pos="2699"/>
        <w:tab w:val="num" w:pos="360"/>
        <w:tab w:val="num" w:pos="1440"/>
        <w:tab w:val="num" w:pos="3600"/>
      </w:tabs>
      <w:ind w:left="3600" w:hanging="360"/>
      <w:outlineLvl w:val="4"/>
    </w:pPr>
  </w:style>
  <w:style w:type="paragraph" w:customStyle="1" w:styleId="BBHeading4">
    <w:name w:val="B&amp;B Heading 4"/>
    <w:basedOn w:val="BBHeading3"/>
    <w:next w:val="Normln"/>
    <w:rsid w:val="00E87594"/>
    <w:pPr>
      <w:numPr>
        <w:ilvl w:val="3"/>
      </w:numPr>
      <w:tabs>
        <w:tab w:val="clear" w:pos="2699"/>
        <w:tab w:val="num" w:pos="360"/>
        <w:tab w:val="num" w:pos="1440"/>
        <w:tab w:val="num" w:pos="2880"/>
      </w:tabs>
      <w:ind w:left="2880" w:hanging="360"/>
      <w:outlineLvl w:val="3"/>
    </w:pPr>
  </w:style>
  <w:style w:type="paragraph" w:customStyle="1" w:styleId="BBHeading3">
    <w:name w:val="B&amp;B Heading 3"/>
    <w:basedOn w:val="BBHeading2"/>
    <w:next w:val="Normln"/>
    <w:rsid w:val="00E87594"/>
    <w:pPr>
      <w:numPr>
        <w:ilvl w:val="2"/>
      </w:numPr>
      <w:tabs>
        <w:tab w:val="clear" w:pos="1622"/>
        <w:tab w:val="num" w:pos="360"/>
        <w:tab w:val="num" w:pos="1440"/>
        <w:tab w:val="num" w:pos="2160"/>
      </w:tabs>
      <w:ind w:left="2160" w:hanging="180"/>
      <w:outlineLvl w:val="2"/>
    </w:pPr>
  </w:style>
  <w:style w:type="paragraph" w:customStyle="1" w:styleId="BBHeading7">
    <w:name w:val="B&amp;B Heading 7"/>
    <w:basedOn w:val="BBHeading6"/>
    <w:next w:val="Normln"/>
    <w:rsid w:val="00E87594"/>
    <w:pPr>
      <w:numPr>
        <w:ilvl w:val="6"/>
      </w:numPr>
      <w:tabs>
        <w:tab w:val="clear" w:pos="3907"/>
        <w:tab w:val="num" w:pos="360"/>
        <w:tab w:val="num" w:pos="1440"/>
        <w:tab w:val="num" w:pos="5040"/>
        <w:tab w:val="left" w:pos="5398"/>
      </w:tabs>
      <w:ind w:left="5040" w:hanging="360"/>
      <w:outlineLvl w:val="6"/>
    </w:pPr>
  </w:style>
  <w:style w:type="paragraph" w:customStyle="1" w:styleId="BBHeading8">
    <w:name w:val="B&amp;B Heading 8"/>
    <w:basedOn w:val="BBHeading7"/>
    <w:next w:val="Normln"/>
    <w:rsid w:val="00E87594"/>
    <w:pPr>
      <w:numPr>
        <w:ilvl w:val="7"/>
      </w:numPr>
      <w:tabs>
        <w:tab w:val="clear" w:pos="3238"/>
        <w:tab w:val="clear" w:pos="4581"/>
        <w:tab w:val="clear" w:pos="5398"/>
        <w:tab w:val="num" w:pos="360"/>
        <w:tab w:val="num" w:pos="1440"/>
        <w:tab w:val="left" w:pos="3907"/>
        <w:tab w:val="num" w:pos="5760"/>
      </w:tabs>
      <w:ind w:left="5760" w:hanging="360"/>
      <w:outlineLvl w:val="7"/>
    </w:pPr>
  </w:style>
  <w:style w:type="paragraph" w:customStyle="1" w:styleId="BBHeading9">
    <w:name w:val="B&amp;B Heading 9"/>
    <w:basedOn w:val="BBHeading8"/>
    <w:next w:val="Normln"/>
    <w:rsid w:val="00E87594"/>
    <w:pPr>
      <w:numPr>
        <w:ilvl w:val="8"/>
      </w:numPr>
      <w:tabs>
        <w:tab w:val="clear" w:pos="7198"/>
        <w:tab w:val="num" w:pos="360"/>
        <w:tab w:val="num" w:pos="1440"/>
        <w:tab w:val="num" w:pos="6480"/>
        <w:tab w:val="left" w:pos="6838"/>
      </w:tabs>
      <w:ind w:left="6480" w:hanging="180"/>
      <w:outlineLvl w:val="8"/>
    </w:pPr>
  </w:style>
  <w:style w:type="paragraph" w:styleId="Revize">
    <w:name w:val="Revision"/>
    <w:hidden/>
    <w:uiPriority w:val="99"/>
    <w:semiHidden/>
    <w:rsid w:val="00D411C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1384</Words>
  <Characters>8167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Turková Marie</dc:creator>
  <cp:keywords/>
  <dc:description/>
  <cp:lastModifiedBy>Čelikovská Karolina</cp:lastModifiedBy>
  <cp:revision>3</cp:revision>
  <dcterms:created xsi:type="dcterms:W3CDTF">2023-04-26T08:08:00Z</dcterms:created>
  <dcterms:modified xsi:type="dcterms:W3CDTF">2023-04-28T08:23:00Z</dcterms:modified>
</cp:coreProperties>
</file>