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</w:t>
      </w:r>
      <w:proofErr w:type="spellEnd"/>
      <w:r w:rsidR="0078361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823B229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783612"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 w:rsidR="00783612"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2D8BD066" w14:textId="77777777" w:rsidR="007C1DBB" w:rsidRDefault="007C1DBB" w:rsidP="00803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Šestajovice, okres Praha – východ, Komenského 158, 250 92 Šestajovice, </w:t>
      </w:r>
    </w:p>
    <w:p w14:paraId="47CA18BC" w14:textId="70093D91" w:rsidR="005652F3" w:rsidRPr="007E6505" w:rsidRDefault="007C1DBB" w:rsidP="00803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75031515</w:t>
      </w:r>
      <w:r w:rsidR="00803527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7E6505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3B02A023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783612" w:rsidRPr="00783612">
        <w:rPr>
          <w:rFonts w:ascii="Times New Roman" w:hAnsi="Times New Roman" w:cs="Times New Roman"/>
          <w:sz w:val="24"/>
          <w:szCs w:val="24"/>
        </w:rPr>
        <w:t>02_22_002 pro Šablony pro MŠ a ZŠ I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proofErr w:type="gramStart"/>
      <w:r w:rsidR="00824BB8" w:rsidRPr="007E6505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="00824BB8" w:rsidRPr="007E6505">
        <w:rPr>
          <w:rFonts w:ascii="Times New Roman" w:hAnsi="Times New Roman" w:cs="Times New Roman"/>
          <w:sz w:val="24"/>
          <w:szCs w:val="24"/>
        </w:rPr>
        <w:t>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C76066">
        <w:rPr>
          <w:rFonts w:ascii="Times New Roman" w:hAnsi="Times New Roman" w:cs="Times New Roman"/>
          <w:sz w:val="24"/>
          <w:szCs w:val="24"/>
        </w:rPr>
        <w:t>„</w:t>
      </w:r>
      <w:r w:rsidR="00C76066" w:rsidRPr="00C76066">
        <w:rPr>
          <w:b/>
          <w:bCs/>
          <w:sz w:val="23"/>
          <w:szCs w:val="23"/>
        </w:rPr>
        <w:t>ZŠ Šestajovice OPJAK</w:t>
      </w:r>
      <w:r w:rsidR="00890E21" w:rsidRPr="00C76066">
        <w:rPr>
          <w:rFonts w:ascii="Times New Roman" w:hAnsi="Times New Roman" w:cs="Times New Roman"/>
          <w:sz w:val="24"/>
          <w:szCs w:val="24"/>
        </w:rPr>
        <w:t>“</w:t>
      </w:r>
      <w:r w:rsidR="00890E21" w:rsidRPr="00312F42">
        <w:rPr>
          <w:rFonts w:ascii="Times New Roman" w:hAnsi="Times New Roman" w:cs="Times New Roman"/>
          <w:sz w:val="24"/>
          <w:szCs w:val="24"/>
        </w:rPr>
        <w:t xml:space="preserve"> </w:t>
      </w:r>
      <w:r w:rsidR="008D6460" w:rsidRPr="00312F42">
        <w:rPr>
          <w:rFonts w:ascii="Times New Roman" w:hAnsi="Times New Roman" w:cs="Times New Roman"/>
          <w:sz w:val="24"/>
          <w:szCs w:val="24"/>
        </w:rPr>
        <w:t>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podkladů pro zajištění potřebných dokumentů, stanovisek, rozhodnutí pro zpracování žádosti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7A0BC421" w:rsidR="00993E9F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 w:rsidRPr="008D6460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8D6460">
        <w:rPr>
          <w:rFonts w:ascii="Times New Roman" w:hAnsi="Times New Roman" w:cs="Times New Roman"/>
          <w:sz w:val="24"/>
          <w:szCs w:val="24"/>
        </w:rPr>
        <w:t xml:space="preserve">, tj. </w:t>
      </w:r>
      <w:r w:rsidR="00F0062D" w:rsidRPr="00FA31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183.973</w:t>
      </w:r>
      <w:r w:rsidR="00A82057" w:rsidRPr="00FA31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="00993333" w:rsidRPr="00FA31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Kč bez DPH, tj.</w:t>
      </w:r>
      <w:r w:rsidR="00F0062D" w:rsidRPr="00FA31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222.607</w:t>
      </w:r>
      <w:r w:rsidR="00446FE6" w:rsidRPr="00FA31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="00993333" w:rsidRPr="00FA31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Kč s</w:t>
      </w:r>
      <w:r w:rsidR="00A82057" w:rsidRPr="00FA31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 </w:t>
      </w:r>
      <w:r w:rsidR="00993333" w:rsidRPr="00FA31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DPH</w:t>
      </w:r>
      <w:r w:rsidR="001C0C5C" w:rsidRPr="00FA31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E9157E" w:rsidRPr="00FA31FC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A31FC">
        <w:rPr>
          <w:rFonts w:ascii="Times New Roman" w:hAnsi="Times New Roman" w:cs="Times New Roman"/>
          <w:sz w:val="24"/>
          <w:szCs w:val="24"/>
        </w:rPr>
        <w:t>po</w:t>
      </w:r>
      <w:r w:rsidR="00371B7C" w:rsidRPr="00FA31FC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A31FC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8D6460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8D6460">
        <w:rPr>
          <w:rFonts w:ascii="Times New Roman" w:hAnsi="Times New Roman" w:cs="Times New Roman"/>
          <w:sz w:val="24"/>
          <w:szCs w:val="24"/>
        </w:rPr>
        <w:t>.</w:t>
      </w:r>
    </w:p>
    <w:p w14:paraId="7AAA0693" w14:textId="77777777" w:rsidR="00F0062D" w:rsidRPr="00BD7A9B" w:rsidRDefault="00F0062D" w:rsidP="00F0062D">
      <w:pPr>
        <w:pStyle w:val="Odstavecseseznamem"/>
        <w:ind w:left="360"/>
        <w:jc w:val="both"/>
        <w:rPr>
          <w:rFonts w:ascii="Times New Roman" w:hAnsi="Times New Roman"/>
          <w:color w:val="4472C4"/>
          <w:sz w:val="24"/>
          <w:szCs w:val="24"/>
        </w:rPr>
      </w:pPr>
      <w:r w:rsidRPr="00BD7A9B">
        <w:rPr>
          <w:rFonts w:ascii="Times New Roman" w:hAnsi="Times New Roman"/>
          <w:color w:val="4472C4"/>
          <w:sz w:val="24"/>
          <w:szCs w:val="24"/>
        </w:rPr>
        <w:t>Odměna nebude zohledňovat schválenou dotaci za šablonu „1.II/</w:t>
      </w:r>
      <w:r>
        <w:rPr>
          <w:rFonts w:ascii="Times New Roman" w:hAnsi="Times New Roman"/>
          <w:color w:val="4472C4"/>
          <w:sz w:val="24"/>
          <w:szCs w:val="24"/>
        </w:rPr>
        <w:t>3</w:t>
      </w:r>
      <w:r w:rsidRPr="00BD7A9B">
        <w:rPr>
          <w:rFonts w:ascii="Times New Roman" w:hAnsi="Times New Roman"/>
          <w:color w:val="4472C4"/>
          <w:sz w:val="24"/>
          <w:szCs w:val="24"/>
        </w:rPr>
        <w:t xml:space="preserve"> Školní psycholog“.  </w:t>
      </w:r>
    </w:p>
    <w:p w14:paraId="7A1F9BA4" w14:textId="6A1D86DE" w:rsidR="0008115A" w:rsidRDefault="00E9157E" w:rsidP="00733D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poskytovatel nemá nárok </w:t>
      </w:r>
      <w:proofErr w:type="gramStart"/>
      <w:r>
        <w:rPr>
          <w:rFonts w:ascii="Times New Roman" w:hAnsi="Times New Roman" w:cs="Times New Roman"/>
          <w:sz w:val="24"/>
          <w:szCs w:val="24"/>
        </w:rPr>
        <w:t>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14:paraId="663C82EC" w14:textId="51AB58C5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860CE3E" w14:textId="464EA332" w:rsidR="00F0062D" w:rsidRPr="0086057F" w:rsidRDefault="00F0062D" w:rsidP="00F0062D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color w:val="4472C4"/>
          <w:sz w:val="24"/>
          <w:szCs w:val="24"/>
        </w:rPr>
      </w:pPr>
      <w:r w:rsidRPr="00C412F1">
        <w:rPr>
          <w:rFonts w:ascii="Times New Roman" w:hAnsi="Times New Roman"/>
          <w:color w:val="4472C4"/>
          <w:sz w:val="24"/>
          <w:szCs w:val="24"/>
        </w:rPr>
        <w:t>Smluvní strany se dohodly, že Příjemce bude žádat o dotaci i na personální šablonu s názvem „1.II/</w:t>
      </w:r>
      <w:r>
        <w:rPr>
          <w:rFonts w:ascii="Times New Roman" w:hAnsi="Times New Roman"/>
          <w:color w:val="4472C4"/>
          <w:sz w:val="24"/>
          <w:szCs w:val="24"/>
        </w:rPr>
        <w:t>3</w:t>
      </w:r>
      <w:r w:rsidRPr="0086057F">
        <w:rPr>
          <w:rFonts w:ascii="Times New Roman" w:hAnsi="Times New Roman"/>
          <w:color w:val="4472C4"/>
          <w:sz w:val="24"/>
          <w:szCs w:val="24"/>
        </w:rPr>
        <w:t xml:space="preserve"> Školní psycholog“, kde je vysoké riziko nenalezení vhodného kandidáta pro tuto pozici. Proto při výpočtu odměny pro Poskytovatele se u této šablony sjednává výjimka. V případě, že dojde k čerpání Příjemcem této šablony v rámci získané dotace, poskytovatel má nárok na bonus k odměně uveden v čl. II </w:t>
      </w:r>
      <w:proofErr w:type="spellStart"/>
      <w:r w:rsidRPr="0086057F">
        <w:rPr>
          <w:rFonts w:ascii="Times New Roman" w:hAnsi="Times New Roman"/>
          <w:color w:val="4472C4"/>
          <w:sz w:val="24"/>
          <w:szCs w:val="24"/>
        </w:rPr>
        <w:t>ods</w:t>
      </w:r>
      <w:proofErr w:type="spellEnd"/>
      <w:r w:rsidRPr="0086057F">
        <w:rPr>
          <w:rFonts w:ascii="Times New Roman" w:hAnsi="Times New Roman"/>
          <w:color w:val="4472C4"/>
          <w:sz w:val="24"/>
          <w:szCs w:val="24"/>
        </w:rPr>
        <w:t xml:space="preserve">. 1) a to ve výši </w:t>
      </w:r>
      <w:r>
        <w:rPr>
          <w:rFonts w:ascii="Times New Roman" w:hAnsi="Times New Roman"/>
          <w:color w:val="4472C4"/>
          <w:sz w:val="24"/>
          <w:szCs w:val="24"/>
        </w:rPr>
        <w:t>5</w:t>
      </w:r>
      <w:r w:rsidRPr="0086057F">
        <w:rPr>
          <w:rFonts w:ascii="Times New Roman" w:hAnsi="Times New Roman"/>
          <w:color w:val="4472C4"/>
          <w:sz w:val="24"/>
          <w:szCs w:val="24"/>
        </w:rPr>
        <w:t xml:space="preserve">% bez DPH </w:t>
      </w:r>
      <w:proofErr w:type="gramStart"/>
      <w:r w:rsidRPr="0086057F">
        <w:rPr>
          <w:rFonts w:ascii="Times New Roman" w:hAnsi="Times New Roman"/>
          <w:color w:val="4472C4"/>
          <w:sz w:val="24"/>
          <w:szCs w:val="24"/>
        </w:rPr>
        <w:t xml:space="preserve">ze  </w:t>
      </w:r>
      <w:r w:rsidRPr="0086057F">
        <w:rPr>
          <w:rFonts w:ascii="Times New Roman" w:hAnsi="Times New Roman"/>
          <w:i/>
          <w:iCs/>
          <w:color w:val="4472C4"/>
          <w:sz w:val="24"/>
          <w:szCs w:val="24"/>
          <w:u w:val="single"/>
        </w:rPr>
        <w:t>skutečného</w:t>
      </w:r>
      <w:proofErr w:type="gramEnd"/>
      <w:r w:rsidRPr="0086057F">
        <w:rPr>
          <w:rFonts w:ascii="Times New Roman" w:hAnsi="Times New Roman"/>
          <w:i/>
          <w:iCs/>
          <w:color w:val="4472C4"/>
          <w:sz w:val="24"/>
          <w:szCs w:val="24"/>
          <w:u w:val="single"/>
        </w:rPr>
        <w:t xml:space="preserve"> čerpání</w:t>
      </w:r>
      <w:r w:rsidRPr="0086057F">
        <w:rPr>
          <w:rFonts w:ascii="Times New Roman" w:hAnsi="Times New Roman"/>
          <w:color w:val="4472C4"/>
          <w:sz w:val="24"/>
          <w:szCs w:val="24"/>
        </w:rPr>
        <w:t xml:space="preserve"> dotace pro tuto konkrétní šablonu. Bonus bude vyúčtován na základě skutečnosti k poslednímu dni realizace projektu.</w:t>
      </w:r>
      <w:r>
        <w:rPr>
          <w:rFonts w:ascii="Times New Roman" w:hAnsi="Times New Roman"/>
          <w:color w:val="4472C4"/>
          <w:sz w:val="24"/>
          <w:szCs w:val="24"/>
        </w:rPr>
        <w:t xml:space="preserve"> V případě plného čerpání této šablony </w:t>
      </w:r>
      <w:r w:rsidRPr="00BD7A9B">
        <w:rPr>
          <w:rFonts w:ascii="Times New Roman" w:hAnsi="Times New Roman"/>
          <w:color w:val="4472C4"/>
          <w:sz w:val="24"/>
          <w:szCs w:val="24"/>
        </w:rPr>
        <w:t>„1.II/</w:t>
      </w:r>
      <w:r>
        <w:rPr>
          <w:rFonts w:ascii="Times New Roman" w:hAnsi="Times New Roman"/>
          <w:color w:val="4472C4"/>
          <w:sz w:val="24"/>
          <w:szCs w:val="24"/>
        </w:rPr>
        <w:t>3</w:t>
      </w:r>
      <w:r w:rsidRPr="00BD7A9B">
        <w:rPr>
          <w:rFonts w:ascii="Times New Roman" w:hAnsi="Times New Roman"/>
          <w:color w:val="4472C4"/>
          <w:sz w:val="24"/>
          <w:szCs w:val="24"/>
        </w:rPr>
        <w:t xml:space="preserve"> Školní psycholog“</w:t>
      </w:r>
      <w:r>
        <w:rPr>
          <w:rFonts w:ascii="Times New Roman" w:hAnsi="Times New Roman"/>
          <w:color w:val="4472C4"/>
          <w:sz w:val="24"/>
          <w:szCs w:val="24"/>
        </w:rPr>
        <w:t xml:space="preserve"> se jedná o částku k fakturaci ve výši 27.160 Kč bez DPH, tj. 32.863 Kč vč. DPH. </w:t>
      </w:r>
    </w:p>
    <w:p w14:paraId="3579566F" w14:textId="77777777" w:rsidR="00733D38" w:rsidRPr="000D357C" w:rsidRDefault="00733D38" w:rsidP="00F0062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 w:rsidR="00DF082D"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vyžádá-li si to situace. Toto bude dodáno v dostatečném předstihu před termínem odevzdání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lastRenderedPageBreak/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jinak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2D6DD58E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3847C7">
        <w:rPr>
          <w:rFonts w:ascii="Times New Roman" w:hAnsi="Times New Roman" w:cs="Times New Roman"/>
          <w:sz w:val="24"/>
          <w:szCs w:val="24"/>
        </w:rPr>
        <w:t>JAK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22CB20C2" w:rsidR="00281CA6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40FB0A4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74466BBA" w:rsidR="00BE742B" w:rsidRPr="000D357C" w:rsidRDefault="00307CF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F0062D">
              <w:rPr>
                <w:rFonts w:ascii="Times New Roman" w:hAnsi="Times New Roman" w:cs="Times New Roman"/>
                <w:sz w:val="24"/>
                <w:szCs w:val="24"/>
              </w:rPr>
              <w:t>Šestajovicích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7C1DBB">
              <w:rPr>
                <w:rFonts w:ascii="Times New Roman" w:hAnsi="Times New Roman" w:cs="Times New Roman"/>
                <w:sz w:val="24"/>
                <w:szCs w:val="24"/>
              </w:rPr>
              <w:t>26.4.2023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4A9B37B5" w:rsidR="00787E47" w:rsidRPr="000D357C" w:rsidRDefault="00783612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školy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1F9B1F4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D0C30CD" w14:textId="77B8F6EB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0DE59C65" w14:textId="77777777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076CAAA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DB80C9" w14:textId="77777777" w:rsidR="00A82057" w:rsidRDefault="00A82057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gramEnd"/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38773">
    <w:abstractNumId w:val="7"/>
  </w:num>
  <w:num w:numId="2" w16cid:durableId="814957964">
    <w:abstractNumId w:val="0"/>
  </w:num>
  <w:num w:numId="3" w16cid:durableId="1558852600">
    <w:abstractNumId w:val="27"/>
  </w:num>
  <w:num w:numId="4" w16cid:durableId="1586960141">
    <w:abstractNumId w:val="31"/>
  </w:num>
  <w:num w:numId="5" w16cid:durableId="779955340">
    <w:abstractNumId w:val="13"/>
  </w:num>
  <w:num w:numId="6" w16cid:durableId="1954440608">
    <w:abstractNumId w:val="32"/>
  </w:num>
  <w:num w:numId="7" w16cid:durableId="1810130375">
    <w:abstractNumId w:val="24"/>
  </w:num>
  <w:num w:numId="8" w16cid:durableId="443311095">
    <w:abstractNumId w:val="3"/>
  </w:num>
  <w:num w:numId="9" w16cid:durableId="1014186671">
    <w:abstractNumId w:val="2"/>
  </w:num>
  <w:num w:numId="10" w16cid:durableId="2140030490">
    <w:abstractNumId w:val="5"/>
  </w:num>
  <w:num w:numId="11" w16cid:durableId="633214597">
    <w:abstractNumId w:val="28"/>
  </w:num>
  <w:num w:numId="12" w16cid:durableId="162625540">
    <w:abstractNumId w:val="25"/>
  </w:num>
  <w:num w:numId="13" w16cid:durableId="828595924">
    <w:abstractNumId w:val="10"/>
  </w:num>
  <w:num w:numId="14" w16cid:durableId="154104080">
    <w:abstractNumId w:val="33"/>
  </w:num>
  <w:num w:numId="15" w16cid:durableId="1246912918">
    <w:abstractNumId w:val="20"/>
  </w:num>
  <w:num w:numId="16" w16cid:durableId="1340961181">
    <w:abstractNumId w:val="17"/>
  </w:num>
  <w:num w:numId="17" w16cid:durableId="1201019187">
    <w:abstractNumId w:val="9"/>
  </w:num>
  <w:num w:numId="18" w16cid:durableId="1459176356">
    <w:abstractNumId w:val="12"/>
  </w:num>
  <w:num w:numId="19" w16cid:durableId="446120990">
    <w:abstractNumId w:val="11"/>
  </w:num>
  <w:num w:numId="20" w16cid:durableId="381641797">
    <w:abstractNumId w:val="6"/>
  </w:num>
  <w:num w:numId="21" w16cid:durableId="1508865014">
    <w:abstractNumId w:val="4"/>
  </w:num>
  <w:num w:numId="22" w16cid:durableId="618682295">
    <w:abstractNumId w:val="21"/>
  </w:num>
  <w:num w:numId="23" w16cid:durableId="957687815">
    <w:abstractNumId w:val="8"/>
  </w:num>
  <w:num w:numId="24" w16cid:durableId="1120731164">
    <w:abstractNumId w:val="18"/>
  </w:num>
  <w:num w:numId="25" w16cid:durableId="264964040">
    <w:abstractNumId w:val="15"/>
  </w:num>
  <w:num w:numId="26" w16cid:durableId="1153570616">
    <w:abstractNumId w:val="29"/>
  </w:num>
  <w:num w:numId="27" w16cid:durableId="1091705487">
    <w:abstractNumId w:val="16"/>
  </w:num>
  <w:num w:numId="28" w16cid:durableId="614095914">
    <w:abstractNumId w:val="14"/>
  </w:num>
  <w:num w:numId="29" w16cid:durableId="1811824610">
    <w:abstractNumId w:val="23"/>
  </w:num>
  <w:num w:numId="30" w16cid:durableId="105734538">
    <w:abstractNumId w:val="26"/>
  </w:num>
  <w:num w:numId="31" w16cid:durableId="45104344">
    <w:abstractNumId w:val="19"/>
  </w:num>
  <w:num w:numId="32" w16cid:durableId="302545302">
    <w:abstractNumId w:val="1"/>
  </w:num>
  <w:num w:numId="33" w16cid:durableId="1884560557">
    <w:abstractNumId w:val="22"/>
  </w:num>
  <w:num w:numId="34" w16cid:durableId="20728048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81CA6"/>
    <w:rsid w:val="002D3CF2"/>
    <w:rsid w:val="002D6B19"/>
    <w:rsid w:val="00307CFB"/>
    <w:rsid w:val="00312F42"/>
    <w:rsid w:val="00331EC1"/>
    <w:rsid w:val="0036395A"/>
    <w:rsid w:val="00371B7C"/>
    <w:rsid w:val="00373080"/>
    <w:rsid w:val="003847C7"/>
    <w:rsid w:val="00385A16"/>
    <w:rsid w:val="00387B69"/>
    <w:rsid w:val="003A348D"/>
    <w:rsid w:val="003B7084"/>
    <w:rsid w:val="003C302A"/>
    <w:rsid w:val="003C346C"/>
    <w:rsid w:val="003F696E"/>
    <w:rsid w:val="00415DAE"/>
    <w:rsid w:val="00446FE6"/>
    <w:rsid w:val="00490F29"/>
    <w:rsid w:val="004C68D4"/>
    <w:rsid w:val="004D673A"/>
    <w:rsid w:val="004F4997"/>
    <w:rsid w:val="005052CF"/>
    <w:rsid w:val="00507DA3"/>
    <w:rsid w:val="00515F8B"/>
    <w:rsid w:val="005652F3"/>
    <w:rsid w:val="005B22ED"/>
    <w:rsid w:val="005C4375"/>
    <w:rsid w:val="005C4E6C"/>
    <w:rsid w:val="005E4E6B"/>
    <w:rsid w:val="005E78B1"/>
    <w:rsid w:val="00601127"/>
    <w:rsid w:val="00640E86"/>
    <w:rsid w:val="006629FE"/>
    <w:rsid w:val="0069040B"/>
    <w:rsid w:val="006A09A9"/>
    <w:rsid w:val="006B11E4"/>
    <w:rsid w:val="006D615A"/>
    <w:rsid w:val="00733D38"/>
    <w:rsid w:val="00783612"/>
    <w:rsid w:val="00787E47"/>
    <w:rsid w:val="007C1DBB"/>
    <w:rsid w:val="007E09AB"/>
    <w:rsid w:val="007E6505"/>
    <w:rsid w:val="007F31A0"/>
    <w:rsid w:val="00803527"/>
    <w:rsid w:val="008121D7"/>
    <w:rsid w:val="00821970"/>
    <w:rsid w:val="00824BB8"/>
    <w:rsid w:val="0082646B"/>
    <w:rsid w:val="00826583"/>
    <w:rsid w:val="00837E51"/>
    <w:rsid w:val="00854EB3"/>
    <w:rsid w:val="008639A7"/>
    <w:rsid w:val="00873A9B"/>
    <w:rsid w:val="00890E21"/>
    <w:rsid w:val="008A5E83"/>
    <w:rsid w:val="008C5856"/>
    <w:rsid w:val="008D6460"/>
    <w:rsid w:val="009154AC"/>
    <w:rsid w:val="009200EB"/>
    <w:rsid w:val="009439E8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82057"/>
    <w:rsid w:val="00AD0C37"/>
    <w:rsid w:val="00AE2967"/>
    <w:rsid w:val="00B00AB7"/>
    <w:rsid w:val="00B24E47"/>
    <w:rsid w:val="00B45E09"/>
    <w:rsid w:val="00B52D05"/>
    <w:rsid w:val="00B7133A"/>
    <w:rsid w:val="00B8511C"/>
    <w:rsid w:val="00BA0D5E"/>
    <w:rsid w:val="00BA262F"/>
    <w:rsid w:val="00BB4271"/>
    <w:rsid w:val="00BE742B"/>
    <w:rsid w:val="00BF42A0"/>
    <w:rsid w:val="00C54912"/>
    <w:rsid w:val="00C60607"/>
    <w:rsid w:val="00C72F97"/>
    <w:rsid w:val="00C76066"/>
    <w:rsid w:val="00CA2C70"/>
    <w:rsid w:val="00CA53E2"/>
    <w:rsid w:val="00CE6A77"/>
    <w:rsid w:val="00CF52CD"/>
    <w:rsid w:val="00D038DE"/>
    <w:rsid w:val="00D44A10"/>
    <w:rsid w:val="00D76804"/>
    <w:rsid w:val="00DD6855"/>
    <w:rsid w:val="00DF082D"/>
    <w:rsid w:val="00E1740E"/>
    <w:rsid w:val="00E74AD5"/>
    <w:rsid w:val="00E9157E"/>
    <w:rsid w:val="00EC5B0C"/>
    <w:rsid w:val="00F0062D"/>
    <w:rsid w:val="00F07598"/>
    <w:rsid w:val="00F3219C"/>
    <w:rsid w:val="00F76F96"/>
    <w:rsid w:val="00F83DE2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98"/>
    <w:rPr>
      <w:sz w:val="20"/>
      <w:szCs w:val="20"/>
    </w:rPr>
  </w:style>
  <w:style w:type="character" w:customStyle="1" w:styleId="fn">
    <w:name w:val="fn"/>
    <w:basedOn w:val="Standardnpsmoodstavce"/>
    <w:rsid w:val="00D4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C64A-93BC-6847-9A00-CC062AE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2087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23</cp:revision>
  <cp:lastPrinted>2019-09-02T11:37:00Z</cp:lastPrinted>
  <dcterms:created xsi:type="dcterms:W3CDTF">2019-09-02T11:25:00Z</dcterms:created>
  <dcterms:modified xsi:type="dcterms:W3CDTF">2023-04-27T20:17:00Z</dcterms:modified>
</cp:coreProperties>
</file>