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BC34D7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C34D7">
              <w:rPr>
                <w:rFonts w:eastAsia="Arial Unicode MS"/>
                <w:sz w:val="22"/>
                <w:szCs w:val="22"/>
              </w:rPr>
              <w:t>Krásný Les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1" w:name="Text2"/>
        <w:tc>
          <w:tcPr>
            <w:tcW w:w="7632" w:type="dxa"/>
            <w:vAlign w:val="center"/>
          </w:tcPr>
          <w:p w:rsidR="00F77FE4" w:rsidRPr="00417D0D" w:rsidRDefault="00F77FE4" w:rsidP="00BC34D7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C34D7">
              <w:rPr>
                <w:rFonts w:eastAsia="Arial Unicode MS"/>
                <w:noProof/>
                <w:sz w:val="22"/>
                <w:szCs w:val="22"/>
              </w:rPr>
              <w:t>Krásný Les 20, 363 01 Ostrov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2" w:name="Text3"/>
        <w:tc>
          <w:tcPr>
            <w:tcW w:w="7632" w:type="dxa"/>
            <w:vAlign w:val="center"/>
          </w:tcPr>
          <w:p w:rsidR="00F77FE4" w:rsidRPr="00417D0D" w:rsidRDefault="00F77FE4" w:rsidP="00B45C1B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45C1B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3" w:name="Text4"/>
        <w:tc>
          <w:tcPr>
            <w:tcW w:w="7632" w:type="dxa"/>
            <w:vAlign w:val="center"/>
          </w:tcPr>
          <w:p w:rsidR="00F77FE4" w:rsidRPr="00417D0D" w:rsidRDefault="00F77FE4" w:rsidP="00DD5C5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C34D7">
              <w:rPr>
                <w:rFonts w:eastAsia="Arial Unicode MS"/>
                <w:noProof/>
                <w:sz w:val="22"/>
                <w:szCs w:val="22"/>
              </w:rPr>
              <w:t>0087206</w:t>
            </w:r>
            <w:r w:rsidR="00DD5C51">
              <w:rPr>
                <w:rFonts w:eastAsia="Arial Unicode MS"/>
                <w:noProof/>
                <w:sz w:val="22"/>
                <w:szCs w:val="22"/>
              </w:rPr>
              <w:t>7</w:t>
            </w:r>
            <w:bookmarkStart w:id="4" w:name="_GoBack"/>
            <w:bookmarkEnd w:id="4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BC34D7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C34D7">
              <w:rPr>
                <w:rFonts w:eastAsia="Arial Unicode MS"/>
                <w:noProof/>
                <w:sz w:val="22"/>
                <w:szCs w:val="22"/>
              </w:rPr>
              <w:t>Pavlem Jandákem,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BC34D7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C34D7">
              <w:rPr>
                <w:rFonts w:eastAsia="Arial Unicode MS"/>
                <w:noProof/>
                <w:sz w:val="22"/>
                <w:szCs w:val="22"/>
              </w:rPr>
              <w:t xml:space="preserve">Komerční banka, a.s. 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B45C1B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45C1B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BC34D7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C34D7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C34D7">
        <w:rPr>
          <w:b/>
          <w:bCs/>
          <w:noProof/>
          <w:sz w:val="22"/>
          <w:szCs w:val="22"/>
        </w:rPr>
        <w:t>170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>
        <w:rPr>
          <w:noProof/>
          <w:sz w:val="22"/>
          <w:szCs w:val="22"/>
        </w:rPr>
        <w:t xml:space="preserve">sto sedmdesát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BC34D7" w:rsidRPr="00BC34D7">
        <w:rPr>
          <w:b/>
          <w:bCs/>
          <w:sz w:val="22"/>
          <w:szCs w:val="22"/>
        </w:rPr>
        <w:t>Rozšíření veřejného osvětlení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>
        <w:rPr>
          <w:sz w:val="22"/>
          <w:szCs w:val="22"/>
        </w:rPr>
        <w:t>4</w:t>
      </w:r>
      <w:r w:rsidR="007319BA">
        <w:rPr>
          <w:noProof/>
          <w:sz w:val="22"/>
          <w:szCs w:val="22"/>
        </w:rPr>
        <w:t>00</w:t>
      </w:r>
      <w:r w:rsidR="007C4073">
        <w:rPr>
          <w:noProof/>
          <w:sz w:val="22"/>
          <w:szCs w:val="22"/>
        </w:rPr>
        <w:t xml:space="preserve"> </w:t>
      </w:r>
      <w:r w:rsidR="007319BA">
        <w:rPr>
          <w:noProof/>
          <w:sz w:val="22"/>
          <w:szCs w:val="22"/>
        </w:rPr>
        <w:t>000,-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BC34D7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BC34D7">
              <w:rPr>
                <w:noProof/>
                <w:sz w:val="22"/>
                <w:szCs w:val="22"/>
              </w:rPr>
              <w:t>světelné body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319BA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319BA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BC34D7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BC34D7">
              <w:rPr>
                <w:noProof/>
                <w:sz w:val="22"/>
                <w:szCs w:val="22"/>
              </w:rPr>
              <w:t>13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BC34D7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BC34D7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BC34D7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="00BC34D7">
              <w:rPr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BC34D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 w:rsidRPr="00BC34D7">
        <w:rPr>
          <w:sz w:val="22"/>
          <w:szCs w:val="22"/>
        </w:rPr>
        <w:t>Rozšíření veřejného osvětlení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lastRenderedPageBreak/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lastRenderedPageBreak/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B45C1B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>
        <w:rPr>
          <w:noProof/>
          <w:sz w:val="22"/>
          <w:szCs w:val="22"/>
        </w:rPr>
        <w:t>6341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BC34D7">
        <w:rPr>
          <w:noProof/>
          <w:sz w:val="22"/>
          <w:szCs w:val="22"/>
        </w:rPr>
        <w:t>5122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</w:t>
      </w:r>
      <w:r w:rsidRPr="00B366D8">
        <w:rPr>
          <w:sz w:val="22"/>
          <w:szCs w:val="22"/>
        </w:rPr>
        <w:lastRenderedPageBreak/>
        <w:t>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B45C1B">
        <w:rPr>
          <w:color w:val="000000"/>
          <w:sz w:val="22"/>
          <w:szCs w:val="22"/>
        </w:rPr>
        <w:t>xxxxxxxxxxx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>rozhodlo v souladu s ustanovením § 36 odst. 1 písm. d) zákona o krajích Zastupitelstvo Karl</w:t>
      </w:r>
      <w:r w:rsidR="00F26145">
        <w:rPr>
          <w:sz w:val="22"/>
          <w:szCs w:val="22"/>
        </w:rPr>
        <w:t xml:space="preserve">ovarského kraje usnesením č. ZK 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BC34D7" w:rsidRDefault="00BC34D7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BC34D7" w:rsidRDefault="00BC34D7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DD5C51">
      <w:rPr>
        <w:rStyle w:val="slostrnky"/>
        <w:noProof/>
        <w:sz w:val="20"/>
        <w:szCs w:val="20"/>
      </w:rPr>
      <w:t>1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DD5C51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45C1B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34D7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D5C51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6145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4</cp:revision>
  <cp:lastPrinted>2015-06-23T12:34:00Z</cp:lastPrinted>
  <dcterms:created xsi:type="dcterms:W3CDTF">2017-04-18T12:57:00Z</dcterms:created>
  <dcterms:modified xsi:type="dcterms:W3CDTF">2017-05-29T09:22:00Z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