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8809"/>
      </w:tblGrid>
      <w:tr w:rsidR="00214882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1652" w:type="dxa"/>
            <w:shd w:val="clear" w:color="auto" w:fill="FFFFFF"/>
          </w:tcPr>
          <w:p w:rsidR="00214882" w:rsidRDefault="00214882">
            <w:pPr>
              <w:rPr>
                <w:sz w:val="10"/>
                <w:szCs w:val="10"/>
              </w:rPr>
            </w:pPr>
          </w:p>
        </w:tc>
        <w:tc>
          <w:tcPr>
            <w:tcW w:w="8809" w:type="dxa"/>
            <w:tcBorders>
              <w:top w:val="single" w:sz="4" w:space="0" w:color="auto"/>
            </w:tcBorders>
            <w:shd w:val="clear" w:color="auto" w:fill="FFFFFF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6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a?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1652" w:type="dxa"/>
            <w:shd w:val="clear" w:color="auto" w:fill="FFFFFF"/>
          </w:tcPr>
          <w:p w:rsidR="00214882" w:rsidRDefault="00214882">
            <w:pPr>
              <w:rPr>
                <w:sz w:val="10"/>
                <w:szCs w:val="10"/>
              </w:rPr>
            </w:pPr>
          </w:p>
        </w:tc>
        <w:tc>
          <w:tcPr>
            <w:tcW w:w="8809" w:type="dxa"/>
            <w:shd w:val="clear" w:color="auto" w:fill="FFFFF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80" w:line="240" w:lineRule="auto"/>
              <w:jc w:val="center"/>
              <w:rPr>
                <w:sz w:val="44"/>
                <w:szCs w:val="44"/>
              </w:rPr>
            </w:pPr>
            <w:r>
              <w:rPr>
                <w:smallCaps/>
                <w:sz w:val="48"/>
                <w:szCs w:val="48"/>
              </w:rPr>
              <w:t>Dodatek č.</w:t>
            </w:r>
            <w:r>
              <w:rPr>
                <w:sz w:val="44"/>
                <w:szCs w:val="44"/>
              </w:rPr>
              <w:t xml:space="preserve"> 7</w:t>
            </w:r>
          </w:p>
          <w:p w:rsidR="00214882" w:rsidRDefault="00EB046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 smlouvě o poskytnutí práva na využívání aplikace č. 2007/049</w:t>
            </w:r>
          </w:p>
        </w:tc>
      </w:tr>
    </w:tbl>
    <w:p w:rsidR="00214882" w:rsidRDefault="00214882">
      <w:pPr>
        <w:spacing w:after="199" w:line="1" w:lineRule="exact"/>
      </w:pPr>
    </w:p>
    <w:p w:rsidR="00214882" w:rsidRDefault="00EB0463">
      <w:pPr>
        <w:pStyle w:val="Zkladntext1"/>
        <w:shd w:val="clear" w:color="auto" w:fill="auto"/>
        <w:spacing w:after="420" w:line="240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2358 a násl. zákona č. 89/2012 Sb., občanský zákoník, ve znění</w:t>
      </w:r>
      <w:r>
        <w:br/>
        <w:t>pozdějších předpisů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8798"/>
      </w:tblGrid>
      <w:tr w:rsidR="00214882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left="1160"/>
            </w:pPr>
            <w:r>
              <w:rPr>
                <w:b/>
                <w:bCs/>
              </w:rPr>
              <w:t>1</w:t>
            </w:r>
          </w:p>
        </w:tc>
        <w:tc>
          <w:tcPr>
            <w:tcW w:w="8798" w:type="dxa"/>
            <w:tcBorders>
              <w:top w:val="single" w:sz="4" w:space="0" w:color="auto"/>
            </w:tcBorders>
            <w:shd w:val="clear" w:color="auto" w:fill="A9ADA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Smluvní strany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2974"/>
          <w:jc w:val="center"/>
        </w:trPr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</w:tcPr>
          <w:p w:rsidR="00214882" w:rsidRDefault="00EB0463">
            <w:pPr>
              <w:pStyle w:val="Jin0"/>
              <w:shd w:val="clear" w:color="auto" w:fill="auto"/>
              <w:spacing w:before="320" w:after="0" w:line="240" w:lineRule="auto"/>
              <w:ind w:left="1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8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140" w:line="240" w:lineRule="auto"/>
              <w:ind w:firstLine="16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Uživatel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3040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Organizace:</w:t>
            </w:r>
            <w:r>
              <w:rPr>
                <w:sz w:val="18"/>
                <w:szCs w:val="18"/>
              </w:rPr>
              <w:tab/>
            </w:r>
            <w:r>
              <w:t xml:space="preserve">Národní památkový </w:t>
            </w:r>
            <w:r>
              <w:t>ústav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3026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Sídlo:</w:t>
            </w:r>
            <w:r>
              <w:rPr>
                <w:sz w:val="18"/>
                <w:szCs w:val="18"/>
              </w:rPr>
              <w:tab/>
            </w:r>
            <w:r>
              <w:t>Valdštejnské nám. 3, 118 01 Praha 1 - Malá Strana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3047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Jejímž jménem jedná:</w:t>
            </w:r>
            <w:r>
              <w:rPr>
                <w:sz w:val="18"/>
                <w:szCs w:val="18"/>
              </w:rPr>
              <w:tab/>
            </w:r>
            <w:r>
              <w:t>Ing. arch. Naděžda Goryczková, generální ředitelka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2968"/>
              </w:tabs>
              <w:spacing w:after="0" w:line="240" w:lineRule="auto"/>
              <w:ind w:firstLine="160"/>
            </w:pPr>
            <w:r>
              <w:t>IČ:</w:t>
            </w:r>
            <w:r>
              <w:tab/>
              <w:t>75032333</w:t>
            </w:r>
          </w:p>
          <w:p w:rsidR="00214882" w:rsidRDefault="00EB0463" w:rsidP="000B0005">
            <w:pPr>
              <w:pStyle w:val="Jin0"/>
              <w:shd w:val="clear" w:color="auto" w:fill="auto"/>
              <w:tabs>
                <w:tab w:val="left" w:pos="2968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 xml:space="preserve">Bankovní spojeni, č.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>
              <w:t>ČNB</w:t>
            </w:r>
            <w:r w:rsidR="000B0005">
              <w:t xml:space="preserve"> </w:t>
            </w:r>
            <w:r>
              <w:t>60039011/0710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2968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Přidělené číslo zákazníka: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</w:rPr>
              <w:t>23065</w:t>
            </w:r>
          </w:p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(dále jen „uživatel“)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2948"/>
          <w:jc w:val="center"/>
        </w:trPr>
        <w:tc>
          <w:tcPr>
            <w:tcW w:w="1663" w:type="dxa"/>
            <w:shd w:val="clear" w:color="auto" w:fill="FFFFFF"/>
          </w:tcPr>
          <w:p w:rsidR="00214882" w:rsidRDefault="00EB0463">
            <w:pPr>
              <w:pStyle w:val="Jin0"/>
              <w:shd w:val="clear" w:color="auto" w:fill="auto"/>
              <w:spacing w:before="80" w:after="0" w:line="240" w:lineRule="auto"/>
              <w:ind w:left="1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8798" w:type="dxa"/>
            <w:shd w:val="clear" w:color="auto" w:fill="FFFFF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140" w:line="240" w:lineRule="auto"/>
              <w:ind w:firstLine="16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Dodavatel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2997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Společnost:</w:t>
            </w:r>
            <w:r>
              <w:rPr>
                <w:sz w:val="18"/>
                <w:szCs w:val="18"/>
              </w:rPr>
              <w:tab/>
            </w:r>
            <w:proofErr w:type="spellStart"/>
            <w:r>
              <w:t>Seyfor</w:t>
            </w:r>
            <w:proofErr w:type="spellEnd"/>
            <w:r>
              <w:t>, a. s.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2997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Sídlo:</w:t>
            </w:r>
            <w:r>
              <w:rPr>
                <w:sz w:val="18"/>
                <w:szCs w:val="18"/>
              </w:rPr>
              <w:tab/>
            </w:r>
            <w:r>
              <w:t xml:space="preserve">Drobného 555/49, </w:t>
            </w:r>
            <w:proofErr w:type="spellStart"/>
            <w:r>
              <w:t>Ponava</w:t>
            </w:r>
            <w:proofErr w:type="spellEnd"/>
            <w:r>
              <w:t>, 602 00 Brno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3047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Jejímž jménem jedná:</w:t>
            </w:r>
            <w:r>
              <w:rPr>
                <w:sz w:val="18"/>
                <w:szCs w:val="18"/>
              </w:rPr>
              <w:tab/>
            </w:r>
            <w:r>
              <w:t xml:space="preserve">Ing. Jan </w:t>
            </w:r>
            <w:proofErr w:type="spellStart"/>
            <w:r>
              <w:t>Tomíšek</w:t>
            </w:r>
            <w:proofErr w:type="spellEnd"/>
            <w:r>
              <w:t>, člen představenstva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3029"/>
              </w:tabs>
              <w:spacing w:after="0" w:line="240" w:lineRule="auto"/>
              <w:ind w:firstLine="160"/>
            </w:pPr>
            <w:r>
              <w:t>IČ:</w:t>
            </w:r>
            <w:r>
              <w:tab/>
              <w:t>01572377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3040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Spisová značka:</w:t>
            </w:r>
            <w:r>
              <w:rPr>
                <w:sz w:val="18"/>
                <w:szCs w:val="18"/>
              </w:rPr>
              <w:tab/>
            </w:r>
            <w:r>
              <w:t>Krajský soud v Brně, spis B 7072</w:t>
            </w:r>
          </w:p>
          <w:p w:rsidR="00214882" w:rsidRDefault="00EB0463" w:rsidP="000B0005">
            <w:pPr>
              <w:pStyle w:val="Jin0"/>
              <w:shd w:val="clear" w:color="auto" w:fill="auto"/>
              <w:tabs>
                <w:tab w:val="left" w:pos="3033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 xml:space="preserve">Bankovní spojení, č.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proofErr w:type="spellStart"/>
            <w:r w:rsidRPr="000B0005">
              <w:rPr>
                <w:lang w:eastAsia="en-US" w:bidi="en-US"/>
              </w:rPr>
              <w:t>Raiffeisenbank</w:t>
            </w:r>
            <w:proofErr w:type="spellEnd"/>
            <w:r w:rsidRPr="000B0005">
              <w:rPr>
                <w:lang w:eastAsia="en-US" w:bidi="en-US"/>
              </w:rPr>
              <w:t xml:space="preserve">, </w:t>
            </w:r>
            <w:r>
              <w:t>a. s.</w:t>
            </w:r>
            <w:r w:rsidR="000B0005">
              <w:t xml:space="preserve"> </w:t>
            </w:r>
            <w:r>
              <w:t>6253399002/5500</w:t>
            </w:r>
          </w:p>
          <w:p w:rsidR="00214882" w:rsidRDefault="00EB0463">
            <w:pPr>
              <w:pStyle w:val="Jin0"/>
              <w:shd w:val="clear" w:color="auto" w:fill="auto"/>
              <w:tabs>
                <w:tab w:val="left" w:pos="3036"/>
              </w:tabs>
              <w:spacing w:after="0" w:line="240" w:lineRule="auto"/>
              <w:ind w:firstLine="160"/>
            </w:pPr>
            <w:r>
              <w:rPr>
                <w:sz w:val="18"/>
                <w:szCs w:val="18"/>
              </w:rPr>
              <w:t>adresa pro korespondenci:</w:t>
            </w:r>
            <w:r>
              <w:rPr>
                <w:sz w:val="18"/>
                <w:szCs w:val="18"/>
              </w:rPr>
              <w:tab/>
            </w:r>
            <w:r>
              <w:t>Okružní 871/3a, 638 00 Brno - Lesná</w:t>
            </w:r>
          </w:p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(dále jen „dodavatel“).</w:t>
            </w:r>
          </w:p>
        </w:tc>
      </w:tr>
    </w:tbl>
    <w:p w:rsidR="00214882" w:rsidRDefault="00214882">
      <w:pPr>
        <w:spacing w:after="139" w:line="1" w:lineRule="exact"/>
      </w:pPr>
    </w:p>
    <w:p w:rsidR="00214882" w:rsidRDefault="00EB0463">
      <w:pPr>
        <w:pStyle w:val="Zkladntext1"/>
        <w:shd w:val="clear" w:color="auto" w:fill="auto"/>
        <w:spacing w:after="340"/>
        <w:ind w:left="1160"/>
      </w:pPr>
      <w:r>
        <w:t>Níže uvedeného dne, měsíce a roku uzavřely smluvní strany tento dodatek č. 7 ke smlouvě č. 2007/049, ve znění pozdějších dodatků: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8809"/>
      </w:tblGrid>
      <w:tr w:rsidR="00214882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left="1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|2</w:t>
            </w:r>
          </w:p>
        </w:tc>
        <w:tc>
          <w:tcPr>
            <w:tcW w:w="8809" w:type="dxa"/>
            <w:tcBorders>
              <w:top w:val="single" w:sz="4" w:space="0" w:color="auto"/>
            </w:tcBorders>
            <w:shd w:val="clear" w:color="auto" w:fill="A9ADA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Předmět dodatku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left="1100"/>
            </w:pPr>
            <w:r>
              <w:t>2.1</w:t>
            </w:r>
          </w:p>
        </w:tc>
        <w:tc>
          <w:tcPr>
            <w:tcW w:w="88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Předmětem tohoto dodatku je poskytnutí práva uživateli využívat aplikaci OZS - Oznámení záměru slevy na pojistném, čímž dochází ke změně rozsahu využívání aplikací dle Smlouvy.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652" w:type="dxa"/>
            <w:shd w:val="clear" w:color="auto" w:fill="FFFFFF"/>
            <w:vAlign w:val="center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left="1100"/>
            </w:pPr>
            <w:r>
              <w:t>2.2</w:t>
            </w:r>
          </w:p>
        </w:tc>
        <w:tc>
          <w:tcPr>
            <w:tcW w:w="8809" w:type="dxa"/>
            <w:shd w:val="clear" w:color="auto" w:fill="FFFFFF"/>
            <w:vAlign w:val="center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 xml:space="preserve">Mění se příloha č. 1 Smlouvy, která se nahrazuje přílohou č. 1 tohoto </w:t>
            </w:r>
            <w:r>
              <w:t>dodatku.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652" w:type="dxa"/>
            <w:shd w:val="clear" w:color="auto" w:fill="FFFFFF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left="1100"/>
            </w:pPr>
            <w:r>
              <w:t>2.3</w:t>
            </w:r>
          </w:p>
        </w:tc>
        <w:tc>
          <w:tcPr>
            <w:tcW w:w="8809" w:type="dxa"/>
            <w:shd w:val="clear" w:color="auto" w:fill="FFFFFF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Ostatní ustanovení Smlouvy se nemění a zůstávají v platnosti.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left="1100"/>
            </w:pPr>
            <w:r>
              <w:t>|3</w:t>
            </w:r>
          </w:p>
        </w:tc>
        <w:tc>
          <w:tcPr>
            <w:tcW w:w="8809" w:type="dxa"/>
            <w:tcBorders>
              <w:top w:val="single" w:sz="4" w:space="0" w:color="auto"/>
            </w:tcBorders>
            <w:shd w:val="clear" w:color="auto" w:fill="A9ADAF"/>
          </w:tcPr>
          <w:p w:rsidR="00214882" w:rsidRDefault="00EB0463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Cena</w:t>
            </w:r>
          </w:p>
        </w:tc>
      </w:tr>
      <w:tr w:rsidR="00214882">
        <w:tblPrEx>
          <w:tblCellMar>
            <w:top w:w="0" w:type="dxa"/>
            <w:bottom w:w="0" w:type="dxa"/>
          </w:tblCellMar>
        </w:tblPrEx>
        <w:trPr>
          <w:trHeight w:hRule="exact" w:val="2376"/>
          <w:jc w:val="center"/>
        </w:trPr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</w:tcPr>
          <w:p w:rsidR="00214882" w:rsidRDefault="00EB0463">
            <w:pPr>
              <w:pStyle w:val="Jin0"/>
              <w:shd w:val="clear" w:color="auto" w:fill="auto"/>
              <w:spacing w:before="260" w:after="0" w:line="240" w:lineRule="auto"/>
              <w:ind w:left="1100"/>
            </w:pPr>
            <w:r>
              <w:t>3.1</w:t>
            </w:r>
          </w:p>
        </w:tc>
        <w:tc>
          <w:tcPr>
            <w:tcW w:w="88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4882" w:rsidRDefault="00EB0463">
            <w:pPr>
              <w:pStyle w:val="Jin0"/>
              <w:shd w:val="clear" w:color="auto" w:fill="auto"/>
              <w:spacing w:after="140"/>
              <w:ind w:left="200"/>
              <w:jc w:val="both"/>
            </w:pPr>
            <w:r>
              <w:t xml:space="preserve">Cena předmětu tohoto dodatku uvedeného v odstavci 2.1 se stanoví dohodou smluvních stran dle ustanovení zákona č. 526/1990 Sb., o cenách, ve znění pozdějších </w:t>
            </w:r>
            <w:r>
              <w:t xml:space="preserve">předpisů, </w:t>
            </w:r>
            <w:proofErr w:type="gramStart"/>
            <w:r>
              <w:t>na</w:t>
            </w:r>
            <w:proofErr w:type="gramEnd"/>
          </w:p>
          <w:p w:rsidR="00214882" w:rsidRDefault="00EB0463">
            <w:pPr>
              <w:pStyle w:val="Jin0"/>
              <w:shd w:val="clear" w:color="auto" w:fill="auto"/>
              <w:spacing w:after="140"/>
              <w:jc w:val="center"/>
            </w:pPr>
            <w:r>
              <w:rPr>
                <w:b/>
                <w:bCs/>
              </w:rPr>
              <w:t>88.190,- Kč</w:t>
            </w:r>
          </w:p>
          <w:p w:rsidR="00214882" w:rsidRDefault="00EB0463">
            <w:pPr>
              <w:pStyle w:val="Jin0"/>
              <w:shd w:val="clear" w:color="auto" w:fill="auto"/>
              <w:spacing w:after="140"/>
              <w:ind w:firstLine="620"/>
              <w:jc w:val="both"/>
            </w:pPr>
            <w:r>
              <w:rPr>
                <w:b/>
                <w:bCs/>
              </w:rPr>
              <w:t xml:space="preserve">(slovy: osmdesát osm tisíc jedno sto devadesát korun českých) </w:t>
            </w:r>
            <w:r>
              <w:t>bez DPH;</w:t>
            </w:r>
          </w:p>
          <w:p w:rsidR="00214882" w:rsidRDefault="00EB0463">
            <w:pPr>
              <w:pStyle w:val="Jin0"/>
              <w:shd w:val="clear" w:color="auto" w:fill="auto"/>
              <w:spacing w:after="140"/>
              <w:ind w:firstLine="200"/>
            </w:pPr>
            <w:r>
              <w:t>DPH bude připočteno v zákonné výši.</w:t>
            </w:r>
          </w:p>
        </w:tc>
      </w:tr>
    </w:tbl>
    <w:p w:rsidR="00214882" w:rsidRDefault="00214882">
      <w:pPr>
        <w:sectPr w:rsidR="00214882">
          <w:headerReference w:type="even" r:id="rId7"/>
          <w:headerReference w:type="default" r:id="rId8"/>
          <w:pgSz w:w="11900" w:h="16840"/>
          <w:pgMar w:top="47" w:right="1113" w:bottom="47" w:left="326" w:header="0" w:footer="3" w:gutter="0"/>
          <w:pgNumType w:start="1"/>
          <w:cols w:space="720"/>
          <w:noEndnote/>
          <w:docGrid w:linePitch="360"/>
        </w:sectPr>
      </w:pPr>
    </w:p>
    <w:p w:rsidR="00214882" w:rsidRDefault="00EB0463">
      <w:pPr>
        <w:pStyle w:val="Zkladntext1"/>
        <w:numPr>
          <w:ilvl w:val="0"/>
          <w:numId w:val="1"/>
        </w:numPr>
        <w:shd w:val="clear" w:color="auto" w:fill="auto"/>
        <w:tabs>
          <w:tab w:val="left" w:pos="1674"/>
        </w:tabs>
        <w:spacing w:line="266" w:lineRule="auto"/>
        <w:ind w:left="1660" w:hanging="680"/>
        <w:jc w:val="both"/>
      </w:pPr>
      <w:r>
        <w:lastRenderedPageBreak/>
        <w:t>Smluvní strany se dohodly, že cena předmětu tohoto dodatku bude hrazena jednorázově na základě faktury (daňového dokladu), kterou dodavatel vystaví po nabytí účinnosti tohoto dodatku. Faktura musí obsahovat všechny náležitost</w:t>
      </w:r>
      <w:r>
        <w:t>i daňového dokladu podle zákona č. 235/2004 Sb., o dani přidané hodnoty, ve znění pozdějších předpisů a podle zákona č. 89/2012 Sb., občanského zákoníku.</w:t>
      </w:r>
    </w:p>
    <w:p w:rsidR="00214882" w:rsidRDefault="00EB0463">
      <w:pPr>
        <w:pStyle w:val="Zkladntext1"/>
        <w:numPr>
          <w:ilvl w:val="0"/>
          <w:numId w:val="1"/>
        </w:numPr>
        <w:shd w:val="clear" w:color="auto" w:fill="auto"/>
        <w:tabs>
          <w:tab w:val="left" w:pos="1674"/>
        </w:tabs>
        <w:spacing w:after="360" w:line="266" w:lineRule="auto"/>
        <w:ind w:firstLine="960"/>
      </w:pPr>
      <w:r>
        <w:t>V ostatním se řídí fakturační a platební podmínky článkem 4 Smlouvy.</w:t>
      </w:r>
    </w:p>
    <w:p w:rsidR="00214882" w:rsidRDefault="00EB0463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1674"/>
        </w:tabs>
      </w:pPr>
      <w:r>
        <w:t>5</w:t>
      </w:r>
      <w:r>
        <w:tab/>
        <w:t>ZÁVĚREČNÁ UJEDNÁNÍ</w:t>
      </w:r>
    </w:p>
    <w:p w:rsidR="00214882" w:rsidRDefault="00EB0463">
      <w:pPr>
        <w:pStyle w:val="Zkladntext1"/>
        <w:numPr>
          <w:ilvl w:val="0"/>
          <w:numId w:val="2"/>
        </w:numPr>
        <w:shd w:val="clear" w:color="auto" w:fill="auto"/>
        <w:tabs>
          <w:tab w:val="left" w:pos="1674"/>
        </w:tabs>
        <w:spacing w:line="269" w:lineRule="auto"/>
        <w:ind w:left="1660" w:hanging="680"/>
        <w:jc w:val="both"/>
      </w:pPr>
      <w:r>
        <w:t xml:space="preserve">Smluvní </w:t>
      </w:r>
      <w:r>
        <w:t xml:space="preserve">strany konstatují a činí za nesporné, že s účinností od 1. 12. 2022 došlo ke změně obchodní firmy dodavatele, a to z obchodní firmy </w:t>
      </w:r>
      <w:proofErr w:type="spellStart"/>
      <w:r>
        <w:t>Solitea</w:t>
      </w:r>
      <w:proofErr w:type="spellEnd"/>
      <w:r>
        <w:t xml:space="preserve">, a.s. nově na obchodní firmu </w:t>
      </w:r>
      <w:proofErr w:type="spellStart"/>
      <w:r>
        <w:t>Seyfor</w:t>
      </w:r>
      <w:proofErr w:type="spellEnd"/>
      <w:r>
        <w:t>, a. s.</w:t>
      </w:r>
    </w:p>
    <w:p w:rsidR="00214882" w:rsidRDefault="00EB0463">
      <w:pPr>
        <w:pStyle w:val="Zkladntext1"/>
        <w:numPr>
          <w:ilvl w:val="0"/>
          <w:numId w:val="2"/>
        </w:numPr>
        <w:shd w:val="clear" w:color="auto" w:fill="auto"/>
        <w:tabs>
          <w:tab w:val="left" w:pos="1674"/>
        </w:tabs>
        <w:spacing w:line="266" w:lineRule="auto"/>
        <w:ind w:left="1660" w:hanging="680"/>
        <w:jc w:val="both"/>
      </w:pPr>
      <w:r>
        <w:t>Tento dodatek nabývá platnosti dnem jeho podpisu oběma smluvními stranami</w:t>
      </w:r>
      <w:r>
        <w:t xml:space="preserve"> a účinnosti dnem jeho uveřejnění v registru smluv, které zajistí uživatel. Je vyhotoven ve dvou stejnopisech; z nichž jeden obdrží uživatel a jeden dodavatel. V případě, že bude elektronická verze tohoto dodatku podepsána připojením elektronických podpisů</w:t>
      </w:r>
      <w:r>
        <w:t xml:space="preserve"> smluvních stran, bude mít každá smluvní strana v držení jeden originál.</w:t>
      </w:r>
    </w:p>
    <w:p w:rsidR="00214882" w:rsidRDefault="00EB0463">
      <w:pPr>
        <w:pStyle w:val="Zkladntext1"/>
        <w:numPr>
          <w:ilvl w:val="0"/>
          <w:numId w:val="2"/>
        </w:numPr>
        <w:shd w:val="clear" w:color="auto" w:fill="auto"/>
        <w:tabs>
          <w:tab w:val="left" w:pos="1674"/>
        </w:tabs>
        <w:spacing w:line="266" w:lineRule="auto"/>
        <w:ind w:firstLine="960"/>
      </w:pPr>
      <w:r>
        <w:t>Nedílnou součástí tohoto dodatku je:</w:t>
      </w:r>
    </w:p>
    <w:p w:rsidR="00214882" w:rsidRDefault="00EB0463">
      <w:pPr>
        <w:pStyle w:val="Zkladntext1"/>
        <w:shd w:val="clear" w:color="auto" w:fill="auto"/>
        <w:spacing w:line="266" w:lineRule="auto"/>
        <w:ind w:left="1660"/>
      </w:pPr>
      <w:r>
        <w:t>• Příloha č. 1 - Seznam a rozsah dodaných aplikací.</w:t>
      </w:r>
    </w:p>
    <w:p w:rsidR="00214882" w:rsidRDefault="00EB0463">
      <w:pPr>
        <w:pStyle w:val="Zkladntext1"/>
        <w:numPr>
          <w:ilvl w:val="0"/>
          <w:numId w:val="3"/>
        </w:numPr>
        <w:shd w:val="clear" w:color="auto" w:fill="auto"/>
        <w:tabs>
          <w:tab w:val="left" w:pos="1674"/>
        </w:tabs>
        <w:spacing w:after="560"/>
        <w:ind w:left="1660" w:hanging="680"/>
      </w:pPr>
      <w:r>
        <w:t>Smluvní strany si před podpisem tento dodatek řádně přečetly a svůj souhlas s obsahem jednotli</w:t>
      </w:r>
      <w:r>
        <w:t>vých ustanovení a přílohy stvrzují svým podpisem.</w:t>
      </w:r>
    </w:p>
    <w:p w:rsidR="00214882" w:rsidRDefault="00EB0463">
      <w:pPr>
        <w:pStyle w:val="Zkladntext1"/>
        <w:shd w:val="clear" w:color="auto" w:fill="auto"/>
        <w:spacing w:after="480" w:line="240" w:lineRule="auto"/>
        <w:ind w:left="2100"/>
      </w:pPr>
      <w:r>
        <w:rPr>
          <w:noProof/>
          <w:lang w:bidi="ar-SA"/>
        </w:rPr>
        <mc:AlternateContent>
          <mc:Choice Requires="wps">
            <w:drawing>
              <wp:anchor distT="0" distB="464185" distL="114300" distR="980440" simplePos="0" relativeHeight="125829378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12700</wp:posOffset>
                </wp:positionV>
                <wp:extent cx="845820" cy="18732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4882" w:rsidRDefault="00EB046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4.75pt;margin-top:1.pt;width:66.599999999999994pt;height:14.75pt;z-index:-125829375;mso-wrap-distance-left:9.pt;mso-wrap-distance-right:77.200000000000003pt;mso-wrap-distance-bottom:36.5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4185" distB="0" distL="1282700" distR="113665" simplePos="0" relativeHeight="125829380" behindDoc="0" locked="0" layoutInCell="1" allowOverlap="1">
                <wp:simplePos x="0" y="0"/>
                <wp:positionH relativeFrom="page">
                  <wp:posOffset>1990725</wp:posOffset>
                </wp:positionH>
                <wp:positionV relativeFrom="paragraph">
                  <wp:posOffset>476885</wp:posOffset>
                </wp:positionV>
                <wp:extent cx="544195" cy="18732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4882" w:rsidRDefault="00EB046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uživatel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56.75pt;margin-top:37.549999999999997pt;width:42.850000000000001pt;height:14.75pt;z-index:-125829373;mso-wrap-distance-left:101.pt;mso-wrap-distance-top:36.549999999999997pt;mso-wrap-distance-right:8.949999999999999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uživatel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Brně, dne 27. 3. 2023</w:t>
      </w:r>
    </w:p>
    <w:p w:rsidR="00214882" w:rsidRDefault="00EB0463">
      <w:pPr>
        <w:pStyle w:val="Nadpis20"/>
        <w:keepNext/>
        <w:keepLines/>
        <w:shd w:val="clear" w:color="auto" w:fill="auto"/>
        <w:spacing w:after="0"/>
        <w:ind w:left="3460" w:firstLine="0"/>
        <w:sectPr w:rsidR="00214882">
          <w:pgSz w:w="11900" w:h="16840"/>
          <w:pgMar w:top="2026" w:right="1108" w:bottom="4374" w:left="330" w:header="0" w:footer="3" w:gutter="0"/>
          <w:cols w:space="720"/>
          <w:noEndnote/>
          <w:docGrid w:linePitch="360"/>
        </w:sectPr>
      </w:pPr>
      <w:bookmarkStart w:id="0" w:name="bookmark0"/>
      <w:bookmarkStart w:id="1" w:name="bookmark1"/>
      <w:r>
        <w:t>dodavatel</w:t>
      </w:r>
      <w:bookmarkEnd w:id="0"/>
      <w:bookmarkEnd w:id="1"/>
    </w:p>
    <w:p w:rsidR="00214882" w:rsidRDefault="00214882">
      <w:pPr>
        <w:spacing w:line="240" w:lineRule="exact"/>
        <w:rPr>
          <w:sz w:val="19"/>
          <w:szCs w:val="19"/>
        </w:rPr>
      </w:pPr>
    </w:p>
    <w:p w:rsidR="00214882" w:rsidRDefault="00214882">
      <w:pPr>
        <w:spacing w:before="9" w:after="9" w:line="240" w:lineRule="exact"/>
        <w:rPr>
          <w:sz w:val="19"/>
          <w:szCs w:val="19"/>
        </w:rPr>
      </w:pPr>
    </w:p>
    <w:p w:rsidR="00214882" w:rsidRDefault="00214882">
      <w:pPr>
        <w:spacing w:line="1" w:lineRule="exact"/>
        <w:sectPr w:rsidR="00214882">
          <w:type w:val="continuous"/>
          <w:pgSz w:w="11900" w:h="16840"/>
          <w:pgMar w:top="1784" w:right="0" w:bottom="4374" w:left="0" w:header="0" w:footer="3" w:gutter="0"/>
          <w:cols w:space="720"/>
          <w:noEndnote/>
          <w:docGrid w:linePitch="360"/>
        </w:sectPr>
      </w:pPr>
    </w:p>
    <w:p w:rsidR="000B0005" w:rsidRDefault="000B0005" w:rsidP="000B0005">
      <w:pPr>
        <w:spacing w:line="360" w:lineRule="exact"/>
      </w:pPr>
    </w:p>
    <w:p w:rsidR="000B0005" w:rsidRDefault="000B0005" w:rsidP="000B0005">
      <w:pPr>
        <w:spacing w:line="360" w:lineRule="exact"/>
      </w:pPr>
    </w:p>
    <w:p w:rsidR="000B0005" w:rsidRDefault="000B0005" w:rsidP="000B0005">
      <w:pPr>
        <w:spacing w:line="360" w:lineRule="exact"/>
      </w:pPr>
    </w:p>
    <w:p w:rsidR="00214882" w:rsidRDefault="00EB0463" w:rsidP="000B000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4548505</wp:posOffset>
                </wp:positionH>
                <wp:positionV relativeFrom="margin">
                  <wp:posOffset>6423660</wp:posOffset>
                </wp:positionV>
                <wp:extent cx="1287145" cy="38417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4882" w:rsidRDefault="00EB0463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jc w:val="center"/>
                            </w:pPr>
                            <w:r>
                              <w:t xml:space="preserve">Ing. Jan </w:t>
                            </w:r>
                            <w:proofErr w:type="spellStart"/>
                            <w:r>
                              <w:t>Tomíšek</w:t>
                            </w:r>
                            <w:proofErr w:type="spellEnd"/>
                            <w:r>
                              <w:br/>
                              <w:t>člen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358.15pt;margin-top:505.8pt;width:101.35pt;height:30.2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" filled="f" stroked="f">
                <v:textbox inset="0,0,0,0">
                  <w:txbxContent>
                    <w:p w:rsidR="00214882" w:rsidRDefault="00EB0463">
                      <w:pPr>
                        <w:pStyle w:val="Zkladntext1"/>
                        <w:shd w:val="clear" w:color="auto" w:fill="auto"/>
                        <w:spacing w:after="0" w:line="266" w:lineRule="auto"/>
                        <w:jc w:val="center"/>
                      </w:pPr>
                      <w:r>
                        <w:t xml:space="preserve">Ing. Jan </w:t>
                      </w:r>
                      <w:proofErr w:type="spellStart"/>
                      <w:r>
                        <w:t>Tomíšek</w:t>
                      </w:r>
                      <w:proofErr w:type="spellEnd"/>
                      <w:r>
                        <w:br/>
                        <w:t>člen představenstva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Ing. arch. Naděžda </w:t>
      </w:r>
      <w:r>
        <w:t>Goryczková</w:t>
      </w:r>
      <w:r>
        <w:br/>
        <w:t>generální ředitelka</w:t>
      </w:r>
      <w:r>
        <w:br w:type="page"/>
      </w:r>
    </w:p>
    <w:p w:rsidR="00214882" w:rsidRDefault="00EB0463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P</w:t>
      </w:r>
      <w:r>
        <w:t>ŘÍLOHA</w:t>
      </w:r>
      <w:bookmarkEnd w:id="2"/>
      <w:bookmarkEnd w:id="3"/>
    </w:p>
    <w:tbl>
      <w:tblPr>
        <w:tblpPr w:leftFromText="141" w:rightFromText="141" w:vertAnchor="text" w:horzAnchor="margin" w:tblpY="397"/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9"/>
        <w:gridCol w:w="1566"/>
        <w:gridCol w:w="2128"/>
      </w:tblGrid>
      <w:tr w:rsidR="000B0005" w:rsidTr="000B000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5749" w:type="dxa"/>
            <w:tcBorders>
              <w:top w:val="single" w:sz="4" w:space="0" w:color="auto"/>
              <w:left w:val="single" w:sz="4" w:space="0" w:color="auto"/>
            </w:tcBorders>
            <w:shd w:val="clear" w:color="auto" w:fill="A9ADAF"/>
          </w:tcPr>
          <w:p w:rsidR="000B0005" w:rsidRDefault="000B0005" w:rsidP="000B0005">
            <w:pPr>
              <w:pStyle w:val="Jin0"/>
              <w:shd w:val="clear" w:color="auto" w:fill="auto"/>
              <w:spacing w:after="0" w:line="240" w:lineRule="auto"/>
            </w:pPr>
            <w:bookmarkStart w:id="4" w:name="_GoBack"/>
            <w:bookmarkEnd w:id="4"/>
            <w:r>
              <w:rPr>
                <w:b/>
                <w:bCs/>
              </w:rPr>
              <w:t>Organizace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9ADAF"/>
          </w:tcPr>
          <w:p w:rsidR="000B0005" w:rsidRDefault="000B0005" w:rsidP="000B000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IČ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9ADAF"/>
          </w:tcPr>
          <w:p w:rsidR="000B0005" w:rsidRDefault="000B0005" w:rsidP="000B000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Počet os. </w:t>
            </w:r>
            <w:proofErr w:type="gramStart"/>
            <w:r>
              <w:rPr>
                <w:b/>
                <w:bCs/>
              </w:rPr>
              <w:t>čísel</w:t>
            </w:r>
            <w:proofErr w:type="gramEnd"/>
          </w:p>
        </w:tc>
      </w:tr>
      <w:tr w:rsidR="000B0005" w:rsidTr="000B0005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0005" w:rsidRDefault="000B0005" w:rsidP="000B0005">
            <w:pPr>
              <w:pStyle w:val="Jin0"/>
              <w:shd w:val="clear" w:color="auto" w:fill="auto"/>
              <w:spacing w:after="0" w:line="240" w:lineRule="auto"/>
            </w:pPr>
            <w:r>
              <w:t>Národní památkový ústav, Praha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0005" w:rsidRDefault="000B0005" w:rsidP="000B000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75032333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005" w:rsidRDefault="000B0005" w:rsidP="000B000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2200</w:t>
            </w:r>
          </w:p>
        </w:tc>
      </w:tr>
    </w:tbl>
    <w:p w:rsidR="00214882" w:rsidRDefault="00EB0463">
      <w:pPr>
        <w:pStyle w:val="Zkladntext1"/>
        <w:shd w:val="clear" w:color="auto" w:fill="auto"/>
        <w:spacing w:after="240"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č. 1 ke smlouvě č. 2007/049</w:t>
      </w:r>
    </w:p>
    <w:p w:rsidR="00214882" w:rsidRDefault="00EB0463">
      <w:pPr>
        <w:pStyle w:val="Titulektabulky0"/>
        <w:shd w:val="clear" w:color="auto" w:fill="auto"/>
        <w:ind w:left="54"/>
      </w:pPr>
      <w:r>
        <w:t xml:space="preserve">Seznam aplikací </w:t>
      </w:r>
      <w:proofErr w:type="spellStart"/>
      <w:r>
        <w:t>Vema</w:t>
      </w:r>
      <w:proofErr w:type="spellEnd"/>
      <w:r>
        <w:t xml:space="preserve"> v rámci této Smlouvy:</w:t>
      </w:r>
    </w:p>
    <w:p w:rsidR="00214882" w:rsidRDefault="00214882">
      <w:pPr>
        <w:spacing w:after="499" w:line="1" w:lineRule="exact"/>
      </w:pPr>
    </w:p>
    <w:p w:rsidR="00214882" w:rsidRDefault="00EB0463">
      <w:pPr>
        <w:pStyle w:val="Zkladntext1"/>
        <w:shd w:val="clear" w:color="auto" w:fill="auto"/>
        <w:spacing w:after="240" w:line="240" w:lineRule="auto"/>
        <w:ind w:firstLine="420"/>
        <w:jc w:val="both"/>
      </w:pPr>
      <w:r>
        <w:t xml:space="preserve">Aplikace </w:t>
      </w:r>
      <w:proofErr w:type="spellStart"/>
      <w:r>
        <w:t>Vema</w:t>
      </w:r>
      <w:proofErr w:type="spellEnd"/>
      <w:r>
        <w:t xml:space="preserve"> budou provozovány v následujícím rozsahu:</w:t>
      </w:r>
    </w:p>
    <w:p w:rsidR="00214882" w:rsidRDefault="00EB0463">
      <w:pPr>
        <w:pStyle w:val="Nadpis20"/>
        <w:keepNext/>
        <w:keepLines/>
        <w:shd w:val="clear" w:color="auto" w:fill="auto"/>
        <w:spacing w:after="100"/>
        <w:ind w:left="0" w:firstLine="4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3960495</wp:posOffset>
                </wp:positionH>
                <wp:positionV relativeFrom="margin">
                  <wp:posOffset>2214880</wp:posOffset>
                </wp:positionV>
                <wp:extent cx="2162810" cy="18986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4882" w:rsidRDefault="00EB046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počet </w:t>
                            </w:r>
                            <w:r>
                              <w:rPr>
                                <w:b/>
                                <w:bCs/>
                              </w:rPr>
                              <w:t>os. čísel/licencí varianta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11.85000000000002pt;margin-top:174.40000000000001pt;width:170.30000000000001pt;height:14.949999999999999pt;z-index:-12582936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os. čísel/licencí varianta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5" w:name="bookmark4"/>
      <w:bookmarkStart w:id="6" w:name="bookmark5"/>
      <w:r>
        <w:t>Aplikace</w:t>
      </w:r>
      <w:bookmarkEnd w:id="5"/>
      <w:bookmarkEnd w:id="6"/>
    </w:p>
    <w:p w:rsidR="00214882" w:rsidRDefault="00EB0463">
      <w:pPr>
        <w:pStyle w:val="Zkladntext1"/>
        <w:shd w:val="clear" w:color="auto" w:fill="auto"/>
        <w:spacing w:after="0" w:line="240" w:lineRule="auto"/>
        <w:ind w:firstLine="420"/>
        <w:jc w:val="both"/>
      </w:pPr>
      <w:r>
        <w:t>Mzdy - PAM •</w:t>
      </w:r>
    </w:p>
    <w:p w:rsidR="00214882" w:rsidRDefault="00EB0463">
      <w:pPr>
        <w:pStyle w:val="Zkladntext1"/>
        <w:shd w:val="clear" w:color="auto" w:fill="auto"/>
        <w:spacing w:after="0" w:line="240" w:lineRule="auto"/>
        <w:ind w:firstLine="420"/>
        <w:jc w:val="both"/>
      </w:pPr>
      <w:r>
        <w:t>Personalistika - PER</w:t>
      </w:r>
    </w:p>
    <w:p w:rsidR="00214882" w:rsidRDefault="00EB0463">
      <w:pPr>
        <w:pStyle w:val="Zkladntext1"/>
        <w:shd w:val="clear" w:color="auto" w:fill="auto"/>
        <w:spacing w:after="0" w:line="240" w:lineRule="auto"/>
        <w:ind w:left="420" w:firstLine="20"/>
        <w:jc w:val="both"/>
      </w:pPr>
      <w:r>
        <w:t xml:space="preserve">El. </w:t>
      </w:r>
      <w:proofErr w:type="gramStart"/>
      <w:r>
        <w:t>podání</w:t>
      </w:r>
      <w:proofErr w:type="gramEnd"/>
      <w:r>
        <w:t xml:space="preserve"> ev. listů důchodového pojištění - ELD Registr nemocenského pojištění - RNP Adresářové služby - ADR</w:t>
      </w:r>
    </w:p>
    <w:p w:rsidR="00214882" w:rsidRDefault="00EB0463">
      <w:pPr>
        <w:pStyle w:val="Zkladntext1"/>
        <w:shd w:val="clear" w:color="auto" w:fill="auto"/>
        <w:spacing w:after="0" w:line="240" w:lineRule="auto"/>
        <w:ind w:firstLine="420"/>
        <w:jc w:val="both"/>
      </w:pPr>
      <w:r>
        <w:t>Systematizace - STM</w:t>
      </w:r>
    </w:p>
    <w:p w:rsidR="00214882" w:rsidRDefault="00EB0463">
      <w:pPr>
        <w:pStyle w:val="Zkladntext1"/>
        <w:shd w:val="clear" w:color="auto" w:fill="auto"/>
        <w:spacing w:after="0" w:line="240" w:lineRule="auto"/>
        <w:ind w:left="420" w:firstLine="20"/>
        <w:jc w:val="both"/>
      </w:pPr>
      <w:r>
        <w:t xml:space="preserve">Podpora obecného nařízení na OOÚ - GDPR Pracovní </w:t>
      </w:r>
      <w:r>
        <w:t>neschopnost zaměstnance - PNZ HB0057 (</w:t>
      </w:r>
      <w:proofErr w:type="spellStart"/>
      <w:r>
        <w:t>přev.příkazy</w:t>
      </w:r>
      <w:proofErr w:type="spellEnd"/>
      <w:r>
        <w:t xml:space="preserve"> PAM-&gt;ČNB, formát FS5) HE0077 (import a export fotografií zaměstnanců) HE0042 (export kmenových údajů zaměstnanců) HS0055 (rozbor a rekapitulace mezd)</w:t>
      </w:r>
    </w:p>
    <w:p w:rsidR="00214882" w:rsidRDefault="00EB0463">
      <w:pPr>
        <w:pStyle w:val="Zkladntext1"/>
        <w:shd w:val="clear" w:color="auto" w:fill="auto"/>
        <w:spacing w:after="0" w:line="240" w:lineRule="auto"/>
        <w:ind w:firstLine="420"/>
        <w:jc w:val="both"/>
      </w:pPr>
      <w:r>
        <w:t>HU0023 (zaúčtování mezd)</w:t>
      </w:r>
    </w:p>
    <w:p w:rsidR="00214882" w:rsidRDefault="00EB0463">
      <w:pPr>
        <w:pStyle w:val="Zkladntext1"/>
        <w:shd w:val="clear" w:color="auto" w:fill="auto"/>
        <w:spacing w:after="360" w:line="240" w:lineRule="auto"/>
        <w:ind w:firstLine="420"/>
        <w:jc w:val="both"/>
      </w:pPr>
      <w:r>
        <w:t>Oznámení záměru slevy na pojis</w:t>
      </w:r>
      <w:r>
        <w:t>tném - OZS</w:t>
      </w:r>
    </w:p>
    <w:p w:rsidR="00214882" w:rsidRDefault="00EB0463">
      <w:pPr>
        <w:pStyle w:val="Zkladntext1"/>
        <w:shd w:val="clear" w:color="auto" w:fill="auto"/>
        <w:spacing w:after="180" w:line="240" w:lineRule="auto"/>
        <w:ind w:firstLine="4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4401820</wp:posOffset>
                </wp:positionH>
                <wp:positionV relativeFrom="margin">
                  <wp:posOffset>2468880</wp:posOffset>
                </wp:positionV>
                <wp:extent cx="2228850" cy="223583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235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1"/>
                              <w:gridCol w:w="2329"/>
                            </w:tblGrid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  <w:tblHeader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jednouživatelská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19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</w:pPr>
                                  <w:r>
                                    <w:t>jednouživatelská</w:t>
                                  </w:r>
                                </w:p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right" w:pos="2153"/>
                                    </w:tabs>
                                    <w:spacing w:after="0" w:line="240" w:lineRule="auto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  <w:t>jednouživatelská</w:t>
                                  </w:r>
                                </w:p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right" w:pos="2153"/>
                                    </w:tabs>
                                    <w:spacing w:after="0" w:line="240" w:lineRule="auto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</w:r>
                                  <w:r>
                                    <w:t>jednouživatelská</w:t>
                                  </w:r>
                                </w:p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right" w:pos="2153"/>
                                    </w:tabs>
                                    <w:spacing w:after="0" w:line="240" w:lineRule="auto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  <w:t>jednouživatelská</w:t>
                                  </w:r>
                                </w:p>
                              </w:tc>
                            </w:tr>
                            <w:tr w:rsidR="002148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shd w:val="clear" w:color="auto" w:fill="FFFFFF"/>
                                </w:tcPr>
                                <w:p w:rsidR="00214882" w:rsidRDefault="00EB046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60"/>
                                    <w:jc w:val="both"/>
                                  </w:pPr>
                                  <w:r>
                                    <w:t>víceuživatelská</w:t>
                                  </w:r>
                                </w:p>
                              </w:tc>
                            </w:tr>
                          </w:tbl>
                          <w:p w:rsidR="00214882" w:rsidRDefault="0021488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left:0;text-align:left;margin-left:346.6pt;margin-top:194.4pt;width:175.5pt;height:176.0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1"/>
                        <w:gridCol w:w="2329"/>
                      </w:tblGrid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  <w:tblHeader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jednouživatelská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19"/>
                        </w:trPr>
                        <w:tc>
                          <w:tcPr>
                            <w:tcW w:w="1181" w:type="dxa"/>
                            <w:shd w:val="clear" w:color="auto" w:fill="FFFFFF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</w:pPr>
                            <w:r>
                              <w:t>jednouživatelská</w:t>
                            </w:r>
                          </w:p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tabs>
                                <w:tab w:val="right" w:pos="2153"/>
                              </w:tabs>
                              <w:spacing w:after="0" w:line="240" w:lineRule="auto"/>
                            </w:pPr>
                            <w:r>
                              <w:t>1</w:t>
                            </w:r>
                            <w:r>
                              <w:tab/>
                              <w:t>jednouživatelská</w:t>
                            </w:r>
                          </w:p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tabs>
                                <w:tab w:val="right" w:pos="2153"/>
                              </w:tabs>
                              <w:spacing w:after="0" w:line="240" w:lineRule="auto"/>
                            </w:pPr>
                            <w:r>
                              <w:t>1</w:t>
                            </w:r>
                            <w:r>
                              <w:tab/>
                            </w:r>
                            <w:r>
                              <w:t>jednouživatelská</w:t>
                            </w:r>
                          </w:p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tabs>
                                <w:tab w:val="right" w:pos="2153"/>
                              </w:tabs>
                              <w:spacing w:after="0" w:line="240" w:lineRule="auto"/>
                            </w:pPr>
                            <w:r>
                              <w:t>1</w:t>
                            </w:r>
                            <w:r>
                              <w:tab/>
                              <w:t>jednouživatelská</w:t>
                            </w:r>
                          </w:p>
                        </w:tc>
                      </w:tr>
                      <w:tr w:rsidR="002148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2200</w:t>
                            </w:r>
                          </w:p>
                        </w:tc>
                        <w:tc>
                          <w:tcPr>
                            <w:tcW w:w="2329" w:type="dxa"/>
                            <w:shd w:val="clear" w:color="auto" w:fill="FFFFFF"/>
                          </w:tcPr>
                          <w:p w:rsidR="00214882" w:rsidRDefault="00EB046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60"/>
                              <w:jc w:val="both"/>
                            </w:pPr>
                            <w:r>
                              <w:t>víceuživatelská</w:t>
                            </w:r>
                          </w:p>
                        </w:tc>
                      </w:tr>
                    </w:tbl>
                    <w:p w:rsidR="00214882" w:rsidRDefault="00214882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Datum: 27. 3. 2023</w:t>
      </w:r>
    </w:p>
    <w:sectPr w:rsidR="00214882">
      <w:type w:val="continuous"/>
      <w:pgSz w:w="11900" w:h="16840"/>
      <w:pgMar w:top="1738" w:right="4730" w:bottom="4661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63" w:rsidRDefault="00EB0463">
      <w:r>
        <w:separator/>
      </w:r>
    </w:p>
  </w:endnote>
  <w:endnote w:type="continuationSeparator" w:id="0">
    <w:p w:rsidR="00EB0463" w:rsidRDefault="00EB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63" w:rsidRDefault="00EB0463"/>
  </w:footnote>
  <w:footnote w:type="continuationSeparator" w:id="0">
    <w:p w:rsidR="00EB0463" w:rsidRDefault="00EB046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82" w:rsidRDefault="00EB046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964565</wp:posOffset>
              </wp:positionV>
              <wp:extent cx="3810635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6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4882" w:rsidRDefault="00EB046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4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Fakturační a platební podmínky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pt;margin-top:75.950000000000003pt;width:300.05000000000001pt;height:8.3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4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Fakturační a platební podmínky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1085215</wp:posOffset>
              </wp:positionV>
              <wp:extent cx="58820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75pt;margin-top:85.450000000000003pt;width:463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82" w:rsidRDefault="0021488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2C6"/>
    <w:multiLevelType w:val="multilevel"/>
    <w:tmpl w:val="CA6AEFA4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A5A6B"/>
    <w:multiLevelType w:val="multilevel"/>
    <w:tmpl w:val="E4D0987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93745"/>
    <w:multiLevelType w:val="multilevel"/>
    <w:tmpl w:val="06A42DFC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82"/>
    <w:rsid w:val="000B0005"/>
    <w:rsid w:val="00214882"/>
    <w:rsid w:val="00E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1536"/>
  <w15:docId w15:val="{B00585A6-F0B9-42FC-BEBD-146C8089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4" w:lineRule="auto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4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firstLine="96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ind w:left="1730" w:firstLine="21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3210</Characters>
  <Application>Microsoft Office Word</Application>
  <DocSecurity>0</DocSecurity>
  <Lines>26</Lines>
  <Paragraphs>7</Paragraphs>
  <ScaleCrop>false</ScaleCrop>
  <Company>HP Inc.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Soubor00003</dc:title>
  <dc:subject/>
  <dc:creator/>
  <cp:keywords/>
  <cp:lastModifiedBy>Janouchová Miroslava</cp:lastModifiedBy>
  <cp:revision>2</cp:revision>
  <dcterms:created xsi:type="dcterms:W3CDTF">2023-04-26T11:40:00Z</dcterms:created>
  <dcterms:modified xsi:type="dcterms:W3CDTF">2023-04-26T11:41:00Z</dcterms:modified>
</cp:coreProperties>
</file>