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0573" w14:textId="77777777" w:rsidR="00E0577A" w:rsidRDefault="00000000">
      <w:r>
        <w:rPr>
          <w:b/>
        </w:rPr>
        <w:t>Příloha 2:</w:t>
      </w:r>
      <w:r>
        <w:t xml:space="preserve"> Prohlášení o nabídkové ceně</w:t>
      </w:r>
    </w:p>
    <w:p w14:paraId="027BD95C" w14:textId="77777777" w:rsidR="00E0577A" w:rsidRDefault="00E0577A"/>
    <w:p w14:paraId="644E43F6" w14:textId="77777777" w:rsidR="00E0577A" w:rsidRDefault="00E0577A"/>
    <w:tbl>
      <w:tblPr>
        <w:tblStyle w:val="a"/>
        <w:tblW w:w="8658" w:type="dxa"/>
        <w:tblInd w:w="426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255"/>
      </w:tblGrid>
      <w:tr w:rsidR="00E0577A" w14:paraId="6242B7AC" w14:textId="77777777">
        <w:tc>
          <w:tcPr>
            <w:tcW w:w="3403" w:type="dxa"/>
          </w:tcPr>
          <w:p w14:paraId="29920E49" w14:textId="77777777" w:rsidR="00E057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eastAsia="Georgia" w:cs="Georgia"/>
                <w:color w:val="000000"/>
                <w:szCs w:val="22"/>
              </w:rPr>
            </w:pPr>
            <w:r>
              <w:rPr>
                <w:rFonts w:eastAsia="Georgia" w:cs="Georgia"/>
                <w:color w:val="000000"/>
                <w:szCs w:val="22"/>
              </w:rPr>
              <w:t>Název veřejné zakázky</w:t>
            </w:r>
          </w:p>
        </w:tc>
        <w:tc>
          <w:tcPr>
            <w:tcW w:w="5255" w:type="dxa"/>
          </w:tcPr>
          <w:p w14:paraId="633ACFCC" w14:textId="77777777" w:rsidR="00E0577A" w:rsidRDefault="00000000">
            <w:pPr>
              <w:tabs>
                <w:tab w:val="left" w:pos="0"/>
              </w:tabs>
            </w:pPr>
            <w:r>
              <w:rPr>
                <w:b/>
              </w:rPr>
              <w:t>Mediální poradenství pro CzechTourism</w:t>
            </w:r>
          </w:p>
        </w:tc>
      </w:tr>
      <w:tr w:rsidR="00E0577A" w14:paraId="74509142" w14:textId="77777777">
        <w:tc>
          <w:tcPr>
            <w:tcW w:w="3403" w:type="dxa"/>
          </w:tcPr>
          <w:p w14:paraId="348D3746" w14:textId="77777777" w:rsidR="00E057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eastAsia="Georgia" w:cs="Georgia"/>
                <w:color w:val="000000"/>
                <w:szCs w:val="22"/>
              </w:rPr>
            </w:pPr>
            <w:r>
              <w:rPr>
                <w:rFonts w:eastAsia="Georgia" w:cs="Georgia"/>
                <w:color w:val="000000"/>
                <w:szCs w:val="22"/>
              </w:rPr>
              <w:t xml:space="preserve">Evidenční číslo VZ </w:t>
            </w:r>
          </w:p>
        </w:tc>
        <w:tc>
          <w:tcPr>
            <w:tcW w:w="5255" w:type="dxa"/>
          </w:tcPr>
          <w:p w14:paraId="288E4096" w14:textId="77777777" w:rsidR="00E057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eastAsia="Georgia" w:cs="Georgia"/>
                <w:color w:val="000000"/>
                <w:szCs w:val="22"/>
              </w:rPr>
            </w:pPr>
            <w:r>
              <w:rPr>
                <w:rFonts w:eastAsia="Georgia" w:cs="Georgia"/>
                <w:color w:val="000000"/>
                <w:szCs w:val="22"/>
              </w:rPr>
              <w:t>VZ/2023/410/14</w:t>
            </w:r>
          </w:p>
        </w:tc>
      </w:tr>
      <w:tr w:rsidR="00E0577A" w14:paraId="467B90D1" w14:textId="77777777">
        <w:tc>
          <w:tcPr>
            <w:tcW w:w="3403" w:type="dxa"/>
          </w:tcPr>
          <w:p w14:paraId="51E177DA" w14:textId="77777777" w:rsidR="00E057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eastAsia="Georgia" w:cs="Georgia"/>
                <w:color w:val="000000"/>
                <w:szCs w:val="22"/>
              </w:rPr>
            </w:pPr>
            <w:r>
              <w:rPr>
                <w:rFonts w:eastAsia="Georgia" w:cs="Georgia"/>
                <w:color w:val="000000"/>
                <w:szCs w:val="22"/>
              </w:rPr>
              <w:t>Systémové číslo NEN</w:t>
            </w:r>
          </w:p>
        </w:tc>
        <w:tc>
          <w:tcPr>
            <w:tcW w:w="5255" w:type="dxa"/>
          </w:tcPr>
          <w:p w14:paraId="51BFCF2B" w14:textId="77777777" w:rsidR="00E057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eastAsia="Georgia" w:cs="Georgia"/>
                <w:color w:val="000000"/>
                <w:szCs w:val="22"/>
              </w:rPr>
            </w:pPr>
            <w:r>
              <w:rPr>
                <w:rFonts w:eastAsia="Georgia" w:cs="Georgia"/>
                <w:color w:val="000000"/>
                <w:szCs w:val="22"/>
              </w:rPr>
              <w:t>N006/23/V00003344</w:t>
            </w:r>
          </w:p>
        </w:tc>
      </w:tr>
    </w:tbl>
    <w:p w14:paraId="0D6F86DC" w14:textId="77777777" w:rsidR="00E0577A" w:rsidRDefault="00E0577A"/>
    <w:p w14:paraId="0A954CBD" w14:textId="77777777" w:rsidR="00E0577A" w:rsidRDefault="00E0577A"/>
    <w:p w14:paraId="1CADA596" w14:textId="77777777" w:rsidR="00E0577A" w:rsidRDefault="00E0577A"/>
    <w:p w14:paraId="4CB62470" w14:textId="77777777" w:rsidR="00E057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eastAsia="Georgia" w:cs="Georgia"/>
          <w:b/>
          <w:color w:val="000000"/>
          <w:szCs w:val="22"/>
        </w:rPr>
      </w:pPr>
      <w:r>
        <w:rPr>
          <w:rFonts w:eastAsia="Georgia" w:cs="Georgia"/>
          <w:b/>
          <w:color w:val="000000"/>
          <w:szCs w:val="22"/>
        </w:rPr>
        <w:t>Nabídková cena - Hodinová sazba</w:t>
      </w:r>
    </w:p>
    <w:p w14:paraId="02A0B854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jc w:val="both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Účastník zadávacího řízení bude zpracovávat zakázky na základě hodinové sazby </w:t>
      </w:r>
      <w:r>
        <w:rPr>
          <w:b/>
        </w:rPr>
        <w:t>1 700 Kč (jedentisícsedmsetkorunčeských) bez DPH, resp. 2  057 Kč vč.  DPH</w:t>
      </w:r>
      <w:r>
        <w:rPr>
          <w:b/>
          <w:color w:val="000000"/>
          <w:szCs w:val="22"/>
        </w:rPr>
        <w:t>.</w:t>
      </w:r>
      <w:r>
        <w:rPr>
          <w:rFonts w:eastAsia="Georgia" w:cs="Georgia"/>
          <w:color w:val="000000"/>
          <w:szCs w:val="22"/>
        </w:rPr>
        <w:t xml:space="preserve"> Cena hodinové sazby je uvedena v Kč bez DPH i včetně DPH. Hodinová sazba je stejná bez ohledu na výši čerpání z celkové maximální částky 950.000 Kč bez DPH.</w:t>
      </w:r>
    </w:p>
    <w:p w14:paraId="6ACC279C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jc w:val="both"/>
        <w:rPr>
          <w:rFonts w:eastAsia="Georgia" w:cs="Georgia"/>
          <w:color w:val="000000"/>
          <w:szCs w:val="22"/>
        </w:rPr>
      </w:pPr>
    </w:p>
    <w:p w14:paraId="35187540" w14:textId="77777777" w:rsidR="00E0577A" w:rsidRDefault="00000000">
      <w:pPr>
        <w:jc w:val="both"/>
        <w:rPr>
          <w:i/>
        </w:rPr>
      </w:pPr>
      <w:r>
        <w:rPr>
          <w:i/>
        </w:rPr>
        <w:t xml:space="preserve">Poznámka: </w:t>
      </w:r>
    </w:p>
    <w:p w14:paraId="0656E01C" w14:textId="77777777" w:rsidR="00E0577A" w:rsidRDefault="00E0577A">
      <w:pPr>
        <w:jc w:val="both"/>
        <w:rPr>
          <w:i/>
        </w:rPr>
      </w:pPr>
    </w:p>
    <w:p w14:paraId="4DE04D11" w14:textId="77777777" w:rsidR="00E0577A" w:rsidRDefault="00000000">
      <w:pPr>
        <w:jc w:val="both"/>
        <w:rPr>
          <w:i/>
        </w:rPr>
      </w:pPr>
      <w:r>
        <w:rPr>
          <w:i/>
        </w:rPr>
        <w:t xml:space="preserve">Nabídková cena-Hodinová sazba musí být uvedena za 1 hodinu plnění jako cena konečná a nejvýše přípustná a bude obsahovat všechny vynaložené náklady související s komplexním zabezpečením plnění předmětu veřejné zakázky.  </w:t>
      </w:r>
    </w:p>
    <w:p w14:paraId="30F9562D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8"/>
        <w:jc w:val="both"/>
        <w:rPr>
          <w:rFonts w:eastAsia="Georgia" w:cs="Georgia"/>
          <w:i/>
          <w:color w:val="000000"/>
          <w:szCs w:val="22"/>
        </w:rPr>
      </w:pPr>
    </w:p>
    <w:p w14:paraId="686BBD62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jc w:val="both"/>
        <w:rPr>
          <w:rFonts w:eastAsia="Georgia" w:cs="Georgia"/>
          <w:color w:val="000000"/>
          <w:szCs w:val="22"/>
        </w:rPr>
      </w:pPr>
    </w:p>
    <w:p w14:paraId="084D4BEC" w14:textId="77777777" w:rsidR="00E0577A" w:rsidRDefault="00E0577A">
      <w:pPr>
        <w:jc w:val="both"/>
      </w:pPr>
    </w:p>
    <w:p w14:paraId="18663EC1" w14:textId="77777777" w:rsidR="00E057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jc w:val="both"/>
        <w:rPr>
          <w:rFonts w:eastAsia="Georgia" w:cs="Georgia"/>
          <w:b/>
          <w:color w:val="000000"/>
          <w:szCs w:val="22"/>
        </w:rPr>
      </w:pPr>
      <w:r>
        <w:rPr>
          <w:rFonts w:eastAsia="Georgia" w:cs="Georgia"/>
          <w:b/>
          <w:color w:val="000000"/>
          <w:szCs w:val="22"/>
        </w:rPr>
        <w:t>Odhadovaná náročnost zpracování jednotlivých zakázek</w:t>
      </w:r>
    </w:p>
    <w:p w14:paraId="2582376D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jc w:val="both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Účastník provede odhad náročnosti zpracování mediaplánu pro vzorovou kampaň. Odhad povede k představě, jak nákladné bude s daným účastníkem zpracování podkladů pro jednotlivé kampaně. </w:t>
      </w:r>
      <w:r>
        <w:rPr>
          <w:rFonts w:eastAsia="Georgia" w:cs="Georgia"/>
          <w:b/>
          <w:color w:val="000000"/>
          <w:szCs w:val="22"/>
        </w:rPr>
        <w:t>Zadavatel stanovuje, že tento odhad není podkladem pro hodnocení nabídky</w:t>
      </w:r>
      <w:r>
        <w:rPr>
          <w:rFonts w:eastAsia="Georgia" w:cs="Georgia"/>
          <w:color w:val="000000"/>
          <w:szCs w:val="22"/>
        </w:rPr>
        <w:t>. Odhad bude proveden na vzorové kampani. Účastník dodá odhad podle obvyklé praxe vyplněním položek níže. Parametry vzorové kampaně jsou:</w:t>
      </w:r>
    </w:p>
    <w:p w14:paraId="0F9504C0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62E3FD69" w14:textId="77777777" w:rsidR="00E057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>rozpočet 5.000.000 Kč vč DPH,</w:t>
      </w:r>
    </w:p>
    <w:p w14:paraId="5F7D7FCE" w14:textId="77777777" w:rsidR="00E057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</w:pPr>
      <w:r>
        <w:rPr>
          <w:rFonts w:eastAsia="Georgia" w:cs="Georgia"/>
          <w:color w:val="000000"/>
          <w:szCs w:val="22"/>
        </w:rPr>
        <w:t>inzerce 5 produktových kategorií – (hrady a zámky, města, lázně a wellness, gastronomie, venkovní aktivity (aktivní turismus),</w:t>
      </w:r>
    </w:p>
    <w:p w14:paraId="6C9CF9CB" w14:textId="77777777" w:rsidR="00E057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</w:pPr>
      <w:r>
        <w:rPr>
          <w:rFonts w:eastAsia="Georgia" w:cs="Georgia"/>
          <w:color w:val="000000"/>
          <w:szCs w:val="22"/>
        </w:rPr>
        <w:t>kampaňové země – Německo, Rakousko, Polsko, Slovensko, Mexiko, Izrael, Saudská Arábie, USA, Jižní Korea, Japonsko,</w:t>
      </w:r>
    </w:p>
    <w:p w14:paraId="5D27D987" w14:textId="77777777" w:rsidR="00E057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</w:pPr>
      <w:r>
        <w:rPr>
          <w:rFonts w:eastAsia="Georgia" w:cs="Georgia"/>
          <w:color w:val="000000"/>
          <w:szCs w:val="22"/>
        </w:rPr>
        <w:t xml:space="preserve">cíl je zvýšení návštěvnosti visitczechrepublic.com, resp. pro SK kudyznudy.cz </w:t>
      </w:r>
    </w:p>
    <w:p w14:paraId="5CD108C0" w14:textId="77777777" w:rsidR="00E057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</w:pPr>
      <w:r>
        <w:rPr>
          <w:rFonts w:eastAsia="Georgia" w:cs="Georgia"/>
          <w:color w:val="000000"/>
          <w:szCs w:val="22"/>
        </w:rPr>
        <w:t xml:space="preserve">termín kampaně – duben, květen, červen 2023 </w:t>
      </w:r>
    </w:p>
    <w:p w14:paraId="5A499F7D" w14:textId="77777777" w:rsidR="00E057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</w:pPr>
      <w:r>
        <w:rPr>
          <w:rFonts w:eastAsia="Georgia" w:cs="Georgia"/>
          <w:color w:val="000000"/>
          <w:szCs w:val="22"/>
        </w:rPr>
        <w:t>online media Facebook/Instagram, Google Display Network, síť Teads.com</w:t>
      </w:r>
    </w:p>
    <w:p w14:paraId="55787445" w14:textId="77777777" w:rsidR="00E057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/>
        <w:jc w:val="both"/>
      </w:pPr>
      <w:r>
        <w:rPr>
          <w:rFonts w:eastAsia="Georgia" w:cs="Georgia"/>
          <w:color w:val="000000"/>
          <w:szCs w:val="22"/>
        </w:rPr>
        <w:t>Cílová skupina:</w:t>
      </w:r>
    </w:p>
    <w:p w14:paraId="0911708F" w14:textId="77777777" w:rsidR="00E0577A" w:rsidRDefault="00000000">
      <w:pPr>
        <w:tabs>
          <w:tab w:val="left" w:pos="1843"/>
        </w:tabs>
        <w:ind w:left="1843"/>
        <w:jc w:val="both"/>
        <w:rPr>
          <w:u w:val="single"/>
        </w:rPr>
      </w:pPr>
      <w:r>
        <w:rPr>
          <w:u w:val="single"/>
        </w:rPr>
        <w:t xml:space="preserve">Mileniálové (mladí lidé bez dětí) </w:t>
      </w:r>
    </w:p>
    <w:p w14:paraId="7D17CA3A" w14:textId="77777777" w:rsidR="00E0577A" w:rsidRDefault="00000000">
      <w:pPr>
        <w:tabs>
          <w:tab w:val="left" w:pos="1843"/>
        </w:tabs>
        <w:ind w:left="1843"/>
        <w:jc w:val="both"/>
      </w:pPr>
      <w:r>
        <w:t>Zpravidla solidně zajištění mladí lidé ve věku cca. 25–35 let se zájmem o cestování, moderní technologie, hudbu, návštěvy barů, festivalů a trendy akcí. Cílem cestování je užít si a bavit se. Často vyhledávají i lokální zážitek. Dávají pozor na budget, ale zároveň mohou již investovat, pokud vidí přidanou hodnotu. Rádi sdílí své cesty na sociálních sítích. Často plánují cestování po vlastní ose.</w:t>
      </w:r>
    </w:p>
    <w:p w14:paraId="14B620B0" w14:textId="77777777" w:rsidR="00E0577A" w:rsidRDefault="00E0577A">
      <w:pPr>
        <w:tabs>
          <w:tab w:val="left" w:pos="1843"/>
        </w:tabs>
        <w:ind w:left="1843"/>
        <w:jc w:val="both"/>
      </w:pPr>
    </w:p>
    <w:p w14:paraId="2A10BF1B" w14:textId="77777777" w:rsidR="00E0577A" w:rsidRDefault="00000000">
      <w:pPr>
        <w:tabs>
          <w:tab w:val="left" w:pos="1843"/>
        </w:tabs>
        <w:ind w:left="1843"/>
        <w:jc w:val="both"/>
        <w:rPr>
          <w:u w:val="single"/>
        </w:rPr>
      </w:pPr>
      <w:r>
        <w:rPr>
          <w:u w:val="single"/>
        </w:rPr>
        <w:t xml:space="preserve">Rodiny s dětmi, prarodiče s dětmi (všichni, kdo cestují s dětmi) </w:t>
      </w:r>
    </w:p>
    <w:p w14:paraId="5F802701" w14:textId="77777777" w:rsidR="00E0577A" w:rsidRDefault="00000000">
      <w:pPr>
        <w:tabs>
          <w:tab w:val="left" w:pos="1843"/>
        </w:tabs>
        <w:ind w:left="1843"/>
        <w:jc w:val="both"/>
      </w:pPr>
      <w:r>
        <w:t xml:space="preserve">Aktivní lidé ve věku cca. 35–54 let, vysokoškolsky vzdělaní, vyšší střední třída (bonitní klientela), mají informační přehled, jsou zcestovalí a hlavním </w:t>
      </w:r>
      <w:r>
        <w:lastRenderedPageBreak/>
        <w:t>zdrojem informací je internet. Na dovolené hledají především pasivní odpočinek (ne v případě aktivní dovolené) s cílem dopřát si a nešetřit. Nejčastěji cestují s rodinou nebo s přáteli.</w:t>
      </w:r>
    </w:p>
    <w:p w14:paraId="5265340B" w14:textId="77777777" w:rsidR="00E0577A" w:rsidRDefault="00E0577A">
      <w:pPr>
        <w:tabs>
          <w:tab w:val="left" w:pos="1843"/>
        </w:tabs>
        <w:ind w:left="1843"/>
        <w:jc w:val="both"/>
      </w:pPr>
    </w:p>
    <w:p w14:paraId="0F8A6C4E" w14:textId="77777777" w:rsidR="00E0577A" w:rsidRDefault="00000000">
      <w:pPr>
        <w:tabs>
          <w:tab w:val="left" w:pos="1843"/>
        </w:tabs>
        <w:ind w:left="1843"/>
        <w:jc w:val="both"/>
        <w:rPr>
          <w:u w:val="single"/>
        </w:rPr>
      </w:pPr>
      <w:r>
        <w:rPr>
          <w:u w:val="single"/>
        </w:rPr>
        <w:t xml:space="preserve">Lidé cestující bez dětí </w:t>
      </w:r>
    </w:p>
    <w:p w14:paraId="4C69ABCD" w14:textId="77777777" w:rsidR="00E0577A" w:rsidRDefault="00000000">
      <w:pPr>
        <w:tabs>
          <w:tab w:val="left" w:pos="1843"/>
        </w:tabs>
        <w:ind w:left="1843"/>
        <w:jc w:val="both"/>
      </w:pPr>
      <w:r>
        <w:t xml:space="preserve">Aktivní lidé ve věku cca. 35–54 let, vysokoškolsky vzdělaní, vyšší střední třída, bonitní klientela, mají informační přehled, jsou zcestovalí a hlavním zdrojem informací je internet. Na dovolené hledají především pasivní odpočinek (ne v případě aktivní dovolené, sportovců a nature lovers) s cílem dopřát si a nešetřit. </w:t>
      </w:r>
    </w:p>
    <w:p w14:paraId="0CF0AB8C" w14:textId="77777777" w:rsidR="00E0577A" w:rsidRDefault="00E0577A">
      <w:pPr>
        <w:tabs>
          <w:tab w:val="left" w:pos="1843"/>
        </w:tabs>
        <w:ind w:left="1843"/>
        <w:jc w:val="both"/>
      </w:pPr>
    </w:p>
    <w:p w14:paraId="07F1C5B2" w14:textId="77777777" w:rsidR="00E0577A" w:rsidRDefault="00000000">
      <w:pPr>
        <w:tabs>
          <w:tab w:val="left" w:pos="1843"/>
        </w:tabs>
        <w:ind w:left="1843"/>
        <w:jc w:val="both"/>
        <w:rPr>
          <w:u w:val="single"/>
        </w:rPr>
      </w:pPr>
      <w:r>
        <w:rPr>
          <w:u w:val="single"/>
        </w:rPr>
        <w:t xml:space="preserve">Aktivní senioři </w:t>
      </w:r>
    </w:p>
    <w:p w14:paraId="6139FB1B" w14:textId="77777777" w:rsidR="00E0577A" w:rsidRDefault="00000000">
      <w:pPr>
        <w:tabs>
          <w:tab w:val="left" w:pos="1843"/>
        </w:tabs>
        <w:ind w:left="1843"/>
        <w:jc w:val="both"/>
      </w:pPr>
      <w:r>
        <w:t>Lidé ve věku 55+ let, většinou movitější turisté, pro něž není cestování otázkou počtu navštívených míst. Vyhledávají spíše autenticitu zážitku a prožitku. Vybírají si nevšední, autentické destinace, které jim nabízejí nevšední zážitky.</w:t>
      </w:r>
    </w:p>
    <w:p w14:paraId="0863128E" w14:textId="77777777" w:rsidR="00E0577A" w:rsidRDefault="00E0577A">
      <w:pPr>
        <w:ind w:left="1418"/>
        <w:jc w:val="both"/>
      </w:pPr>
    </w:p>
    <w:p w14:paraId="5BCB7999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2804BC46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58B78D2A" w14:textId="77777777" w:rsidR="00E0577A" w:rsidRDefault="0000000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>Odhadovaná náročnost vzorové kampaně:</w:t>
      </w:r>
    </w:p>
    <w:p w14:paraId="14AF65E4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27E4A94E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53"/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auto"/>
        <w:ind w:left="720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Počet hodin pro seznámení se zadáním </w:t>
      </w:r>
      <w:r>
        <w:rPr>
          <w:rFonts w:eastAsia="Georgia" w:cs="Georgia"/>
          <w:color w:val="000000"/>
          <w:szCs w:val="22"/>
        </w:rPr>
        <w:tab/>
      </w:r>
      <w:r>
        <w:t>4 h</w:t>
      </w:r>
      <w:r>
        <w:rPr>
          <w:rFonts w:eastAsia="Georgia" w:cs="Georgia"/>
          <w:color w:val="000000"/>
          <w:szCs w:val="22"/>
        </w:rPr>
        <w:t xml:space="preserve">   </w:t>
      </w:r>
    </w:p>
    <w:p w14:paraId="0A3FE823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50B92F2D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Počet hodin pro vypracování mediaplánu </w:t>
      </w:r>
    </w:p>
    <w:p w14:paraId="6B53AE7B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53"/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auto"/>
        <w:ind w:left="720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včetně rešerše reálných cen zvolených médií </w:t>
      </w:r>
      <w:r>
        <w:rPr>
          <w:rFonts w:eastAsia="Georgia" w:cs="Georgia"/>
          <w:color w:val="000000"/>
          <w:szCs w:val="22"/>
        </w:rPr>
        <w:tab/>
      </w:r>
      <w:r>
        <w:t>20 h</w:t>
      </w:r>
    </w:p>
    <w:p w14:paraId="04599C6C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7CD298E6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53"/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auto"/>
        <w:ind w:left="720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Počet hodin pro prezentaci mediaplánu zadavateli </w:t>
      </w:r>
      <w:r>
        <w:tab/>
        <w:t>4 h</w:t>
      </w:r>
    </w:p>
    <w:p w14:paraId="36409C34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67B5390D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Počet hodin pro korekturu </w:t>
      </w:r>
    </w:p>
    <w:p w14:paraId="2E5A9079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53"/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auto"/>
        <w:ind w:left="720"/>
        <w:rPr>
          <w:rFonts w:eastAsia="Georgia" w:cs="Georgia"/>
          <w:color w:val="000000"/>
          <w:szCs w:val="22"/>
        </w:rPr>
      </w:pPr>
      <w:r>
        <w:rPr>
          <w:rFonts w:eastAsia="Georgia" w:cs="Georgia"/>
          <w:color w:val="000000"/>
          <w:szCs w:val="22"/>
        </w:rPr>
        <w:t xml:space="preserve">navrženého mediaplánu (dle obvyklé praxe) </w:t>
      </w:r>
      <w:r>
        <w:rPr>
          <w:rFonts w:eastAsia="Georgia" w:cs="Georgia"/>
          <w:color w:val="000000"/>
          <w:szCs w:val="22"/>
        </w:rPr>
        <w:tab/>
      </w:r>
      <w:r>
        <w:t>6 h</w:t>
      </w:r>
    </w:p>
    <w:p w14:paraId="6365493F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3FB7E72E" w14:textId="77777777" w:rsidR="00E057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53"/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auto"/>
        <w:ind w:left="72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Celkový počet hodin na zakázku (součet výše uvedených položek) </w:t>
      </w:r>
      <w:r>
        <w:rPr>
          <w:b/>
          <w:color w:val="000000"/>
          <w:szCs w:val="22"/>
        </w:rPr>
        <w:tab/>
      </w:r>
      <w:r>
        <w:rPr>
          <w:b/>
        </w:rPr>
        <w:t>34 h</w:t>
      </w:r>
    </w:p>
    <w:p w14:paraId="0D2C9BC4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03606FB2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25A9A9B3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78E00E0B" w14:textId="77777777" w:rsidR="00E0577A" w:rsidRDefault="00E0577A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ind w:left="720"/>
        <w:rPr>
          <w:rFonts w:eastAsia="Georgia" w:cs="Georgia"/>
          <w:color w:val="000000"/>
          <w:szCs w:val="22"/>
        </w:rPr>
      </w:pPr>
    </w:p>
    <w:p w14:paraId="4687A9EA" w14:textId="77777777" w:rsidR="00E0577A" w:rsidRDefault="00000000">
      <w:pPr>
        <w:tabs>
          <w:tab w:val="left" w:pos="567"/>
        </w:tabs>
      </w:pPr>
      <w:r>
        <w:t>V Brandýse nad Labem dne 10. 4. 2023</w:t>
      </w:r>
    </w:p>
    <w:p w14:paraId="5D8E61D4" w14:textId="77777777" w:rsidR="00E0577A" w:rsidRDefault="00E0577A">
      <w:pPr>
        <w:spacing w:before="40"/>
        <w:rPr>
          <w:color w:val="008000"/>
        </w:rPr>
      </w:pPr>
    </w:p>
    <w:p w14:paraId="3A4BEA77" w14:textId="77777777" w:rsidR="00E0577A" w:rsidRDefault="00E0577A">
      <w:pPr>
        <w:spacing w:before="40"/>
        <w:rPr>
          <w:color w:val="008000"/>
        </w:rPr>
      </w:pPr>
    </w:p>
    <w:p w14:paraId="0D6EB904" w14:textId="77777777" w:rsidR="00E0577A" w:rsidRDefault="00E0577A">
      <w:pPr>
        <w:spacing w:before="40"/>
        <w:rPr>
          <w:color w:val="008000"/>
        </w:rPr>
      </w:pPr>
    </w:p>
    <w:p w14:paraId="6BBC8380" w14:textId="77777777" w:rsidR="00E0577A" w:rsidRDefault="00E0577A">
      <w:pPr>
        <w:spacing w:before="40"/>
        <w:rPr>
          <w:color w:val="008000"/>
        </w:rPr>
      </w:pPr>
    </w:p>
    <w:p w14:paraId="3A0DB66B" w14:textId="77777777" w:rsidR="00E0577A" w:rsidRDefault="00E0577A">
      <w:pPr>
        <w:spacing w:before="40"/>
        <w:rPr>
          <w:color w:val="008000"/>
        </w:rPr>
      </w:pPr>
    </w:p>
    <w:p w14:paraId="3B1BF685" w14:textId="77777777" w:rsidR="00E0577A" w:rsidRDefault="00E0577A">
      <w:pPr>
        <w:spacing w:before="40"/>
        <w:rPr>
          <w:color w:val="008000"/>
        </w:rPr>
      </w:pPr>
    </w:p>
    <w:p w14:paraId="3ACD2961" w14:textId="77777777" w:rsidR="00E0577A" w:rsidRDefault="00E0577A">
      <w:pPr>
        <w:spacing w:before="40"/>
        <w:rPr>
          <w:color w:val="008000"/>
        </w:rPr>
      </w:pPr>
    </w:p>
    <w:p w14:paraId="6BB938A4" w14:textId="77777777" w:rsidR="00E0577A" w:rsidRDefault="00E0577A">
      <w:pPr>
        <w:spacing w:before="40"/>
        <w:rPr>
          <w:color w:val="008000"/>
        </w:rPr>
      </w:pPr>
    </w:p>
    <w:p w14:paraId="3BBED394" w14:textId="77777777" w:rsidR="00E0577A" w:rsidRDefault="00000000">
      <w:pPr>
        <w:spacing w:before="40"/>
        <w:ind w:left="3540" w:firstLine="708"/>
      </w:pPr>
      <w:r>
        <w:t xml:space="preserve">          …………………………………………</w:t>
      </w:r>
    </w:p>
    <w:p w14:paraId="22C7B31A" w14:textId="7F828E10" w:rsidR="00E0577A" w:rsidRDefault="00000000">
      <w:pPr>
        <w:spacing w:before="40"/>
        <w:ind w:left="2124" w:firstLine="707"/>
        <w:jc w:val="center"/>
        <w:rPr>
          <w:rFonts w:eastAsia="Georgia" w:cs="Georgia"/>
          <w:color w:val="000000"/>
          <w:szCs w:val="22"/>
        </w:rPr>
      </w:pPr>
      <w:r>
        <w:t xml:space="preserve">        </w:t>
      </w:r>
      <w:r w:rsidR="00810675">
        <w:t>XXX</w:t>
      </w:r>
    </w:p>
    <w:sectPr w:rsidR="00E0577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4105"/>
    <w:multiLevelType w:val="multilevel"/>
    <w:tmpl w:val="31BED29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802629"/>
    <w:multiLevelType w:val="multilevel"/>
    <w:tmpl w:val="7340C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2233"/>
    <w:multiLevelType w:val="multilevel"/>
    <w:tmpl w:val="62D2801E"/>
    <w:lvl w:ilvl="0">
      <w:start w:val="1"/>
      <w:numFmt w:val="decimal"/>
      <w:pStyle w:val="Heading1CzechTouris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CzechTourism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CzechTourism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6026221">
    <w:abstractNumId w:val="1"/>
  </w:num>
  <w:num w:numId="2" w16cid:durableId="1634939364">
    <w:abstractNumId w:val="0"/>
  </w:num>
  <w:num w:numId="3" w16cid:durableId="128877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7A"/>
    <w:rsid w:val="00810675"/>
    <w:rsid w:val="00E0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E504"/>
  <w15:docId w15:val="{E935AD44-4C18-4F59-87F4-0563B84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cs-CZ" w:eastAsia="cs-CZ" w:bidi="ar-SA"/>
      </w:rPr>
    </w:rPrDefault>
    <w:pPrDefault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FA4"/>
    <w:pPr>
      <w:spacing w:line="260" w:lineRule="exact"/>
    </w:pPr>
    <w:rPr>
      <w:rFonts w:eastAsia="Times New Roman" w:cs="Arial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D2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24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24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rsid w:val="00C50FA4"/>
    <w:rPr>
      <w:rFonts w:eastAsia="Calibri" w:cs="Times New Roman"/>
      <w:lang w:val="x-none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rsid w:val="00C50FA4"/>
    <w:rPr>
      <w:rFonts w:ascii="Georgia" w:eastAsia="Calibri" w:hAnsi="Georgia" w:cs="Times New Roman"/>
      <w:szCs w:val="20"/>
      <w:lang w:val="x-none"/>
    </w:rPr>
  </w:style>
  <w:style w:type="character" w:styleId="Odkaznakoment">
    <w:name w:val="annotation reference"/>
    <w:aliases w:val="Comment Reference (Czech Tourism)"/>
    <w:uiPriority w:val="99"/>
    <w:semiHidden/>
    <w:rsid w:val="00C50FA4"/>
    <w:rPr>
      <w:rFonts w:cs="Times New Roman"/>
      <w:sz w:val="22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F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FA4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ED6"/>
    <w:pPr>
      <w:spacing w:line="240" w:lineRule="auto"/>
    </w:pPr>
    <w:rPr>
      <w:rFonts w:eastAsia="Times New Roman" w:cs="Arial"/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ED6"/>
    <w:rPr>
      <w:rFonts w:ascii="Georgia" w:eastAsia="Times New Roman" w:hAnsi="Georgia" w:cs="Arial"/>
      <w:b/>
      <w:bCs/>
      <w:sz w:val="20"/>
      <w:szCs w:val="20"/>
      <w:lang w:val="x-none"/>
    </w:rPr>
  </w:style>
  <w:style w:type="paragraph" w:styleId="Odstavecseseznamem">
    <w:name w:val="List Paragraph"/>
    <w:aliases w:val="Odstavec se seznamem a odrážkou,1 úroveň Odstavec se seznamem"/>
    <w:basedOn w:val="Normln"/>
    <w:uiPriority w:val="34"/>
    <w:qFormat/>
    <w:rsid w:val="007F33F3"/>
    <w:pPr>
      <w:ind w:left="720"/>
      <w:contextualSpacing/>
    </w:pPr>
  </w:style>
  <w:style w:type="paragraph" w:styleId="Revize">
    <w:name w:val="Revision"/>
    <w:hidden/>
    <w:uiPriority w:val="99"/>
    <w:semiHidden/>
    <w:rsid w:val="005048AF"/>
    <w:pPr>
      <w:spacing w:line="240" w:lineRule="auto"/>
    </w:pPr>
    <w:rPr>
      <w:rFonts w:eastAsia="Times New Roman" w:cs="Arial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6D2420"/>
    <w:pPr>
      <w:keepNext w:val="0"/>
      <w:keepLines w:val="0"/>
      <w:numPr>
        <w:ilvl w:val="1"/>
        <w:numId w:val="3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semiHidden/>
    <w:qFormat/>
    <w:rsid w:val="006D2420"/>
    <w:pPr>
      <w:keepNext w:val="0"/>
      <w:keepLines w:val="0"/>
      <w:numPr>
        <w:ilvl w:val="2"/>
        <w:numId w:val="3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Arial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11"/>
    <w:semiHidden/>
    <w:qFormat/>
    <w:rsid w:val="006D2420"/>
    <w:pPr>
      <w:keepNext w:val="0"/>
      <w:keepLines w:val="0"/>
      <w:numPr>
        <w:numId w:val="3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</w:pPr>
    <w:rPr>
      <w:rFonts w:ascii="Georgia" w:eastAsia="Calibri" w:hAnsi="Georgia" w:cs="Arial"/>
      <w:b/>
      <w:color w:val="auto"/>
      <w:sz w:val="26"/>
      <w:szCs w:val="26"/>
    </w:rPr>
  </w:style>
  <w:style w:type="numbering" w:customStyle="1" w:styleId="Headings-Number">
    <w:name w:val="Headings - Number"/>
    <w:rsid w:val="006D2420"/>
  </w:style>
  <w:style w:type="character" w:customStyle="1" w:styleId="Nadpis2Char">
    <w:name w:val="Nadpis 2 Char"/>
    <w:basedOn w:val="Standardnpsmoodstavce"/>
    <w:link w:val="Nadpis2"/>
    <w:uiPriority w:val="9"/>
    <w:semiHidden/>
    <w:rsid w:val="006D2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24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D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aliases w:val="Strong (Czech Tourism)"/>
    <w:qFormat/>
    <w:rsid w:val="006D2420"/>
    <w:rPr>
      <w:rFonts w:cs="Times New Roman"/>
      <w:b/>
      <w:bCs/>
    </w:rPr>
  </w:style>
  <w:style w:type="paragraph" w:customStyle="1" w:styleId="TableTextCzechTourism">
    <w:name w:val="Table Text (Czech Tourism)"/>
    <w:basedOn w:val="Normln"/>
    <w:uiPriority w:val="99"/>
    <w:qFormat/>
    <w:rsid w:val="006D2420"/>
    <w:pPr>
      <w:spacing w:line="220" w:lineRule="exact"/>
    </w:pPr>
    <w:rPr>
      <w:rFonts w:ascii="Arial" w:eastAsia="Calibri" w:hAnsi="Arial"/>
      <w:sz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eastAsia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5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jsNTkspqz/3WhIys6ONu1cSUeg==">AMUW2mXcRgAy4EZRAUP1lMH0hZCZzA7bsV7MQC7DtQ7vHkJS1GqbbOnX+6Ryl2nR1jgXKTsBjpiQ6yaU3rvDJMMN7IlMVV7dZoiD2cxjFI6qyYU4Itl0ysg=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Lenka, Mgr.</dc:creator>
  <cp:lastModifiedBy>Glombová Sylva</cp:lastModifiedBy>
  <cp:revision>2</cp:revision>
  <dcterms:created xsi:type="dcterms:W3CDTF">2023-02-02T11:48:00Z</dcterms:created>
  <dcterms:modified xsi:type="dcterms:W3CDTF">2023-04-26T10:29:00Z</dcterms:modified>
</cp:coreProperties>
</file>