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firstLine="0"/>
        <w:jc w:val="right"/>
      </w:pPr>
      <w:r>
        <w:rPr>
          <w:rStyle w:val="CharStyle3"/>
        </w:rPr>
        <w:t>2023002929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r>
        <w:rPr>
          <w:rStyle w:val="CharStyle8"/>
          <w:b/>
          <w:bCs/>
        </w:rPr>
        <w:t>KUPNÍ SMLOUVA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720" w:line="276" w:lineRule="auto"/>
        <w:ind w:left="0" w:right="0" w:firstLine="0"/>
        <w:jc w:val="center"/>
      </w:pPr>
      <w:r>
        <w:rPr>
          <w:rStyle w:val="CharStyle8"/>
        </w:rPr>
        <w:t>uzavřená v souladu s ustanovení § 2079 a násl. zákona č. 89/2012 Sb., občanský zákoník,</w:t>
        <w:br/>
        <w:t>mezi níže uvedenými smluvními stranami</w:t>
      </w:r>
    </w:p>
    <w:tbl>
      <w:tblPr>
        <w:tblOverlap w:val="never"/>
        <w:jc w:val="center"/>
        <w:tblLayout w:type="fixed"/>
      </w:tblPr>
      <w:tblGrid>
        <w:gridCol w:w="2458"/>
        <w:gridCol w:w="6062"/>
      </w:tblGrid>
      <w:tr>
        <w:trPr>
          <w:trHeight w:val="46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980" w:right="0" w:firstLine="20"/>
              <w:jc w:val="left"/>
            </w:pPr>
            <w:r>
              <w:rPr>
                <w:rStyle w:val="CharStyle13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0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rStyle w:val="CharStyle13"/>
              </w:rPr>
              <w:t>Kamenice 798/1 d, 625 00 Brno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rStyle w:val="CharStyle13"/>
              </w:rPr>
              <w:t>MUDr. Hana Albrechtová, ředitelka</w:t>
            </w:r>
          </w:p>
        </w:tc>
      </w:tr>
      <w:tr>
        <w:trPr>
          <w:trHeight w:val="44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rStyle w:val="CharStyle13"/>
                <w:spacing w:val="1"/>
                <w:shd w:val="clear" w:color="auto" w:fill="000000"/>
              </w:rPr>
              <w:t>..</w:t>
            </w:r>
            <w:r>
              <w:rPr>
                <w:rStyle w:val="CharStyle13"/>
                <w:spacing w:val="2"/>
                <w:shd w:val="clear" w:color="auto" w:fill="000000"/>
              </w:rPr>
              <w:t>....</w:t>
            </w:r>
            <w:r>
              <w:rPr>
                <w:rStyle w:val="CharStyle13"/>
                <w:shd w:val="clear" w:color="auto" w:fill="000000"/>
              </w:rPr>
              <w:t>​</w:t>
            </w:r>
            <w:r>
              <w:rPr>
                <w:rStyle w:val="CharStyle13"/>
                <w:spacing w:val="8"/>
                <w:shd w:val="clear" w:color="auto" w:fill="000000"/>
              </w:rPr>
              <w:t>....</w:t>
            </w:r>
            <w:r>
              <w:rPr>
                <w:rStyle w:val="CharStyle13"/>
                <w:spacing w:val="9"/>
                <w:shd w:val="clear" w:color="auto" w:fill="000000"/>
              </w:rPr>
              <w:t>.</w:t>
            </w:r>
            <w:r>
              <w:rPr>
                <w:rStyle w:val="CharStyle13"/>
                <w:shd w:val="clear" w:color="auto" w:fill="000000"/>
              </w:rPr>
              <w:t>​</w:t>
            </w:r>
            <w:r>
              <w:rPr>
                <w:rStyle w:val="CharStyle13"/>
                <w:spacing w:val="1"/>
                <w:shd w:val="clear" w:color="auto" w:fill="000000"/>
              </w:rPr>
              <w:t>...........</w:t>
            </w:r>
            <w:r>
              <w:rPr>
                <w:rStyle w:val="CharStyle13"/>
                <w:spacing w:val="2"/>
                <w:shd w:val="clear" w:color="auto" w:fill="000000"/>
              </w:rPr>
              <w:t>....</w:t>
            </w:r>
            <w:r>
              <w:rPr>
                <w:rStyle w:val="CharStyle13"/>
                <w:shd w:val="clear" w:color="auto" w:fill="000000"/>
              </w:rPr>
              <w:t>​</w:t>
            </w:r>
            <w:r>
              <w:rPr>
                <w:rStyle w:val="CharStyle13"/>
                <w:spacing w:val="5"/>
                <w:shd w:val="clear" w:color="auto" w:fill="000000"/>
              </w:rPr>
              <w:t>.......</w:t>
            </w:r>
            <w:r>
              <w:rPr>
                <w:rStyle w:val="CharStyle13"/>
                <w:spacing w:val="6"/>
                <w:shd w:val="clear" w:color="auto" w:fill="000000"/>
              </w:rPr>
              <w:t>.</w:t>
            </w:r>
            <w:r>
              <w:rPr>
                <w:rStyle w:val="CharStyle13"/>
                <w:shd w:val="clear" w:color="auto" w:fill="000000"/>
              </w:rPr>
              <w:t>​</w:t>
            </w:r>
            <w:r>
              <w:rPr>
                <w:rStyle w:val="CharStyle13"/>
                <w:spacing w:val="3"/>
                <w:shd w:val="clear" w:color="auto" w:fill="000000"/>
              </w:rPr>
              <w:t>..</w:t>
            </w:r>
            <w:r>
              <w:rPr>
                <w:rStyle w:val="CharStyle13"/>
                <w:spacing w:val="4"/>
                <w:shd w:val="clear" w:color="auto" w:fill="000000"/>
              </w:rPr>
              <w:t>.</w:t>
            </w:r>
            <w:r>
              <w:rPr>
                <w:rStyle w:val="CharStyle13"/>
                <w:shd w:val="clear" w:color="auto" w:fill="000000"/>
              </w:rPr>
              <w:t>​</w:t>
            </w:r>
            <w:r>
              <w:rPr>
                <w:rStyle w:val="CharStyle13"/>
                <w:spacing w:val="3"/>
                <w:shd w:val="clear" w:color="auto" w:fill="000000"/>
              </w:rPr>
              <w:t>..</w:t>
            </w:r>
            <w:r>
              <w:rPr>
                <w:rStyle w:val="CharStyle13"/>
                <w:spacing w:val="4"/>
                <w:shd w:val="clear" w:color="auto" w:fill="000000"/>
              </w:rPr>
              <w:t>......</w:t>
            </w:r>
            <w:r>
              <w:rPr>
                <w:rStyle w:val="CharStyle13"/>
                <w:u w:val="single"/>
                <w:shd w:val="clear" w:color="auto" w:fill="000000"/>
                <w:lang w:val="en-US" w:eastAsia="en-US" w:bidi="en-US"/>
              </w:rPr>
              <w:t>​................</w:t>
            </w:r>
            <w:r>
              <w:rPr>
                <w:rStyle w:val="CharStyle13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rStyle w:val="CharStyle13"/>
                <w:spacing w:val="5"/>
                <w:shd w:val="clear" w:color="auto" w:fill="000000"/>
              </w:rPr>
              <w:t>.....</w:t>
            </w:r>
            <w:r>
              <w:rPr>
                <w:rStyle w:val="CharStyle13"/>
                <w:spacing w:val="6"/>
                <w:shd w:val="clear" w:color="auto" w:fill="000000"/>
              </w:rPr>
              <w:t>.</w:t>
            </w:r>
            <w:r>
              <w:rPr>
                <w:rStyle w:val="CharStyle13"/>
                <w:shd w:val="clear" w:color="auto" w:fill="000000"/>
              </w:rPr>
              <w:t>​.......​</w:t>
            </w:r>
            <w:r>
              <w:rPr>
                <w:rStyle w:val="CharStyle13"/>
                <w:spacing w:val="6"/>
                <w:shd w:val="clear" w:color="auto" w:fill="000000"/>
              </w:rPr>
              <w:t>...</w:t>
            </w:r>
            <w:r>
              <w:rPr>
                <w:rStyle w:val="CharStyle13"/>
                <w:spacing w:val="7"/>
                <w:shd w:val="clear" w:color="auto" w:fill="000000"/>
              </w:rPr>
              <w:t>...</w:t>
            </w:r>
            <w:r>
              <w:rPr>
                <w:rStyle w:val="CharStyle13"/>
                <w:shd w:val="clear" w:color="auto" w:fill="000000"/>
              </w:rPr>
              <w:t>​......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rStyle w:val="CharStyle13"/>
              </w:rPr>
              <w:t>00346292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rStyle w:val="CharStyle13"/>
              </w:rPr>
              <w:t>CZ00346292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rStyle w:val="CharStyle13"/>
              </w:rPr>
              <w:t>Krajský soud v Brně sp. zn. Pr 1245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11"/>
        </w:rPr>
        <w:t>(dále jen „kupující“)</w:t>
      </w:r>
    </w:p>
    <w:p>
      <w:pPr>
        <w:widowControl w:val="0"/>
        <w:spacing w:after="639" w:line="1" w:lineRule="exact"/>
      </w:pPr>
    </w:p>
    <w:tbl>
      <w:tblPr>
        <w:tblOverlap w:val="never"/>
        <w:jc w:val="center"/>
        <w:tblLayout w:type="fixed"/>
      </w:tblPr>
      <w:tblGrid>
        <w:gridCol w:w="2467"/>
        <w:gridCol w:w="6307"/>
      </w:tblGrid>
      <w:tr>
        <w:trPr>
          <w:trHeight w:val="21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rStyle w:val="CharStyle13"/>
                <w:b/>
                <w:bCs/>
              </w:rPr>
              <w:t>TMJ Aviation s.r.o.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rStyle w:val="CharStyle13"/>
              </w:rPr>
              <w:t>Modřanská 621/72, 143 00 Praha 4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rStyle w:val="CharStyle13"/>
              </w:rPr>
              <w:t>Tomáš Jankovec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rStyle w:val="CharStyle13"/>
                <w:i/>
                <w:iCs/>
                <w:spacing w:val="2"/>
                <w:shd w:val="clear" w:color="auto" w:fill="000000"/>
              </w:rPr>
              <w:t>..</w:t>
            </w:r>
            <w:r>
              <w:rPr>
                <w:rStyle w:val="CharStyle13"/>
                <w:i/>
                <w:iCs/>
                <w:spacing w:val="3"/>
                <w:shd w:val="clear" w:color="auto" w:fill="000000"/>
              </w:rPr>
              <w:t>................</w:t>
            </w:r>
            <w:r>
              <w:rPr>
                <w:rStyle w:val="CharStyle13"/>
                <w:i/>
                <w:iCs/>
                <w:shd w:val="clear" w:color="auto" w:fill="000000"/>
              </w:rPr>
              <w:t>​</w:t>
            </w:r>
            <w:r>
              <w:rPr>
                <w:rStyle w:val="CharStyle13"/>
                <w:i/>
                <w:iCs/>
                <w:spacing w:val="4"/>
                <w:shd w:val="clear" w:color="auto" w:fill="000000"/>
              </w:rPr>
              <w:t>....</w:t>
            </w:r>
            <w:r>
              <w:rPr>
                <w:rStyle w:val="CharStyle13"/>
                <w:i/>
                <w:iCs/>
                <w:spacing w:val="5"/>
                <w:shd w:val="clear" w:color="auto" w:fill="000000"/>
              </w:rPr>
              <w:t>.....</w:t>
            </w:r>
            <w:r>
              <w:rPr>
                <w:rStyle w:val="CharStyle13"/>
                <w:i/>
                <w:iCs/>
                <w:shd w:val="clear" w:color="auto" w:fill="000000"/>
              </w:rPr>
              <w:t>​</w:t>
            </w:r>
            <w:r>
              <w:rPr>
                <w:rStyle w:val="CharStyle13"/>
                <w:i/>
                <w:iCs/>
                <w:spacing w:val="8"/>
                <w:shd w:val="clear" w:color="auto" w:fill="000000"/>
              </w:rPr>
              <w:t>...</w:t>
            </w:r>
            <w:r>
              <w:rPr>
                <w:rStyle w:val="CharStyle13"/>
                <w:i/>
                <w:iCs/>
                <w:spacing w:val="9"/>
                <w:shd w:val="clear" w:color="auto" w:fill="000000"/>
              </w:rPr>
              <w:t>..</w:t>
            </w:r>
            <w:r>
              <w:rPr>
                <w:rStyle w:val="CharStyle13"/>
                <w:i/>
                <w:iCs/>
                <w:shd w:val="clear" w:color="auto" w:fill="000000"/>
              </w:rPr>
              <w:t>​....................​</w:t>
            </w:r>
            <w:r>
              <w:rPr>
                <w:rStyle w:val="CharStyle13"/>
                <w:i/>
                <w:iCs/>
                <w:spacing w:val="3"/>
                <w:shd w:val="clear" w:color="auto" w:fill="000000"/>
              </w:rPr>
              <w:t>........</w:t>
            </w:r>
            <w:r>
              <w:rPr>
                <w:rStyle w:val="CharStyle13"/>
                <w:i/>
                <w:iCs/>
                <w:spacing w:val="4"/>
                <w:shd w:val="clear" w:color="auto" w:fill="000000"/>
              </w:rPr>
              <w:t>.</w:t>
            </w:r>
            <w:r>
              <w:rPr>
                <w:rStyle w:val="CharStyle13"/>
                <w:i/>
                <w:iCs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13"/>
                <w:i/>
                <w:iCs/>
                <w:spacing w:val="1"/>
                <w:shd w:val="clear" w:color="auto" w:fill="000000"/>
                <w:lang w:val="en-US" w:eastAsia="en-US" w:bidi="en-US"/>
              </w:rPr>
              <w:t>..............</w:t>
            </w:r>
            <w:r>
              <w:rPr>
                <w:rStyle w:val="CharStyle13"/>
                <w:i/>
                <w:iCs/>
                <w:spacing w:val="2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13"/>
                <w:i/>
                <w:iCs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13"/>
                <w:i/>
                <w:iCs/>
                <w:spacing w:val="3"/>
                <w:shd w:val="clear" w:color="auto" w:fill="000000"/>
                <w:lang w:val="en-US" w:eastAsia="en-US" w:bidi="en-US"/>
              </w:rPr>
              <w:t>.............</w:t>
            </w:r>
            <w:r>
              <w:rPr>
                <w:rStyle w:val="CharStyle13"/>
                <w:i/>
                <w:iCs/>
                <w:spacing w:val="4"/>
                <w:shd w:val="clear" w:color="auto" w:fill="000000"/>
                <w:lang w:val="en-US" w:eastAsia="en-US" w:bidi="en-US"/>
              </w:rPr>
              <w:t>...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rStyle w:val="CharStyle13"/>
              </w:rPr>
              <w:t>27941884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3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rStyle w:val="CharStyle13"/>
              </w:rPr>
              <w:t>CZ27941884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3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rStyle w:val="CharStyle13"/>
              </w:rPr>
              <w:t>Městský soud v Praze sp. zn. C128161</w:t>
            </w:r>
          </w:p>
        </w:tc>
      </w:tr>
    </w:tbl>
    <w:p>
      <w:pPr>
        <w:widowControl w:val="0"/>
        <w:spacing w:after="41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both"/>
      </w:pPr>
      <w:r>
        <w:rPr>
          <w:rStyle w:val="CharStyle8"/>
        </w:rPr>
        <w:t>(dále jen „prodávající“)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40" w:line="240" w:lineRule="auto"/>
        <w:ind w:left="400" w:right="0" w:hanging="400"/>
        <w:jc w:val="both"/>
      </w:pPr>
      <w:r>
        <w:rPr>
          <w:rStyle w:val="CharStyle8"/>
        </w:rPr>
        <w:t xml:space="preserve">Prodávající je oprávněn na základě svého živnostenského oprávnění obchodovat se zbožím v podobě </w:t>
      </w:r>
      <w:r>
        <w:rPr>
          <w:rStyle w:val="CharStyle8"/>
          <w:b/>
          <w:bCs/>
        </w:rPr>
        <w:t xml:space="preserve">2 ks přileb MSA Gallet LH250. </w:t>
      </w:r>
      <w:r>
        <w:rPr>
          <w:rStyle w:val="CharStyle8"/>
        </w:rPr>
        <w:t>Podrobná specifikace zboží je uvedena v příloze č. 1 Specifikace, která je nedílnou součástí této smlouvy.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40" w:line="240" w:lineRule="auto"/>
        <w:ind w:left="400" w:right="0" w:hanging="400"/>
        <w:jc w:val="both"/>
      </w:pPr>
      <w:r>
        <w:rPr>
          <w:rStyle w:val="CharStyle8"/>
        </w:rPr>
        <w:t>Prodávající prodává zboží podle čl. 1 této smlouvy se všemi jeho součástmi a příslušenstvím kupujícímu, a kupující kupuje toto zboží do vlastnictví Jihomoravského kraje, jako svého zřizovatele, za kupní cenu podle čl. 6 této smlouvy. Součástí dodávky zboží podle tohoto článku této smlouvy je také předání veškerých písemných dokladů, které jsou potřebné k používání zboží, zejména návodu k obsluze v českém jazyce, odpovídající technické dokumentace v tištěné a datové podobě v českém jazyce, dodání dokladů prokazujících kvalitu a schválení pro užívání v České republice, zejm. dodání příslušných atestů, certifikátů, homologací a prohlášení o shodě, a proškolení obsluhy. Proškolením obsluhy se přitom pro účely této smlouvy rozumí jednorázová osobní instruktáž personálu kupujícího, určeného kupujícím, ve správném používání zboží podle čl. 1 této smlouvy, a to v rozsahu potřebném k získání způsobilosti tohoto personálu k instruktáži jiných osob v této věci.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40" w:line="240" w:lineRule="auto"/>
        <w:ind w:left="400" w:right="0" w:hanging="400"/>
        <w:jc w:val="both"/>
      </w:pPr>
      <w:r>
        <w:rPr>
          <w:rStyle w:val="CharStyle8"/>
        </w:rPr>
        <w:t xml:space="preserve">Prodávající se zavazuje splnit svůj závazek k dodání zboží podle čl. 1 této smlouvy nejpozději do </w:t>
      </w:r>
      <w:r>
        <w:rPr>
          <w:rStyle w:val="CharStyle8"/>
          <w:b/>
          <w:bCs/>
        </w:rPr>
        <w:t xml:space="preserve">70-ti kalendářních dnů </w:t>
      </w:r>
      <w:r>
        <w:rPr>
          <w:rStyle w:val="CharStyle8"/>
        </w:rPr>
        <w:t>od účinnosti této smlouvy. Tento závazek se přitom bude považovat za splněný po faktickém předání příslušného zboží, včetně příslušenství, a po proškolení obsluhy, formou písemného předávacího protokolu, podepsaného oběma stranami. Místem plnění se přitom rozumí sídlo zadavatele.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320" w:line="240" w:lineRule="auto"/>
        <w:ind w:left="400" w:right="0" w:hanging="400"/>
        <w:jc w:val="both"/>
      </w:pPr>
      <w:r>
        <w:rPr>
          <w:rStyle w:val="CharStyle8"/>
        </w:rPr>
        <w:t>Kupující se zavazuje převzít objednané zboží podle čl. 1 této smlouvy, prosté všech zjevných vad, ve lhůtě a místě podle této smlouvy. Kupující je oprávněn odmítnout převzetí zboží, bude-li se na něm vyskytovat jakákoliv vada.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80" w:right="0" w:hanging="480"/>
        <w:jc w:val="both"/>
      </w:pPr>
      <w:r>
        <w:rPr>
          <w:rStyle w:val="CharStyle8"/>
        </w:rPr>
        <w:t>Nebezpečí škody na převáděném zboží podle čl. 1 této smlouvy a vlastnické právo k tomuto zboží přechází z prodávajícího na kupujícího dnem faktického převzetí tohoto zboží.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80" w:right="0" w:hanging="480"/>
        <w:jc w:val="both"/>
      </w:pPr>
      <w:r>
        <w:rPr>
          <w:rStyle w:val="CharStyle8"/>
        </w:rPr>
        <w:t xml:space="preserve">Kupující se zavazuje zaplatit prodávajícímu za předmět koupě a prodeje podle čl. 1 a podle čl. 2 této smlouvy kupní cenu ve výši: </w:t>
      </w:r>
      <w:r>
        <w:rPr>
          <w:rStyle w:val="CharStyle8"/>
          <w:b/>
          <w:bCs/>
        </w:rPr>
        <w:t xml:space="preserve">124 008,06 Kč </w:t>
      </w:r>
      <w:r>
        <w:rPr>
          <w:rStyle w:val="CharStyle8"/>
        </w:rPr>
        <w:t xml:space="preserve">bez DPH, tj. </w:t>
      </w:r>
      <w:r>
        <w:rPr>
          <w:rStyle w:val="CharStyle8"/>
          <w:b/>
          <w:bCs/>
        </w:rPr>
        <w:t xml:space="preserve">150 049,76 Kč </w:t>
      </w:r>
      <w:r>
        <w:rPr>
          <w:rStyle w:val="CharStyle8"/>
        </w:rPr>
        <w:t>včetně DPH. Součástí této ceny jsou veškeré náklady, vynaložené prodávajícím na splnění jeho závazku k dodání zboží podle této smlouvy a daň z přidané hodnoty v sazbě podle zákona.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80" w:right="0" w:hanging="480"/>
        <w:jc w:val="both"/>
      </w:pPr>
      <w:r>
        <w:rPr>
          <w:rStyle w:val="CharStyle8"/>
        </w:rPr>
        <w:t xml:space="preserve">Kupní cena podle čl. 6 této smlouvy je splatná na účet prodávajícího po splnění závazku prodávajícího k dodání zboží podle čl. 1 této smlouvy způsobem podle čl. 3 této smlouvy ve lhůtě do 30-ti dnů ode dne doručení jejího písemného vyúčtování (faktury/daňového dokladu). Faktura/daňový doklad bude doručena elektronicky na email: </w:t>
      </w:r>
      <w:r>
        <w:rPr>
          <w:rStyle w:val="CharStyle8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8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8"/>
          <w:shd w:val="clear" w:color="auto" w:fill="000000"/>
          <w:lang w:val="en-US" w:eastAsia="en-US" w:bidi="en-US"/>
        </w:rPr>
        <w:t>.</w:t>
      </w:r>
      <w:r>
        <w:rPr>
          <w:rStyle w:val="CharStyle8"/>
          <w:shd w:val="clear" w:color="auto" w:fill="000000"/>
        </w:rPr>
        <w:t>​..</w:t>
      </w:r>
      <w:r>
        <w:rPr>
          <w:rStyle w:val="CharStyle8"/>
        </w:rPr>
        <w:t xml:space="preserve"> </w:t>
      </w:r>
      <w:r>
        <w:rPr>
          <w:rStyle w:val="CharStyle8"/>
          <w:u w:val="single"/>
          <w:shd w:val="clear" w:color="auto" w:fill="000000"/>
          <w:lang w:val="en-US" w:eastAsia="en-US" w:bidi="en-US"/>
        </w:rPr>
        <w:t>​................</w:t>
      </w:r>
      <w:r>
        <w:rPr>
          <w:rStyle w:val="CharStyle8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8"/>
          <w:shd w:val="clear" w:color="auto" w:fill="000000"/>
          <w:lang w:val="en-US" w:eastAsia="en-US" w:bidi="en-US"/>
        </w:rPr>
        <w:t>..</w:t>
      </w:r>
      <w:r>
        <w:rPr>
          <w:rStyle w:val="CharStyle8"/>
        </w:rPr>
        <w:t xml:space="preserve">Na faktuře musí být mimo jiné vždy uvedeno toto číslo veřejné zakázky, ke které se faktura vztahuje: </w:t>
      </w:r>
      <w:r>
        <w:rPr>
          <w:rStyle w:val="CharStyle8"/>
          <w:b/>
          <w:bCs/>
        </w:rPr>
        <w:t xml:space="preserve">P23V00000827. </w:t>
      </w:r>
      <w:r>
        <w:rPr>
          <w:rStyle w:val="CharStyle8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80" w:right="0" w:hanging="480"/>
        <w:jc w:val="both"/>
      </w:pPr>
      <w:r>
        <w:rPr>
          <w:rStyle w:val="CharStyle8"/>
        </w:rPr>
        <w:t xml:space="preserve">S převodem zboží je podle čl. 1 této smlouvy spojena záruka za jeho jakost v trvání </w:t>
      </w:r>
      <w:r>
        <w:rPr>
          <w:rStyle w:val="CharStyle8"/>
          <w:b/>
          <w:bCs/>
        </w:rPr>
        <w:t xml:space="preserve">24 měsíců. </w:t>
      </w:r>
      <w:r>
        <w:rPr>
          <w:rStyle w:val="CharStyle8"/>
        </w:rPr>
        <w:t>V rámci záruky se prodávající zavazuje, že zboží podle čl. 1 této smlouvy bude mít po dobu záruční lhůty vlastnosti, které jsou stanoveny právními předpisy nebo technickými normami nebo jsou u zboží tohoto druhu obvyklé, a že bude po dobu záruční lhůty bezplatně odstraňovat vady, které se na zboží podle čl. 1 této smlouvy vyskytnou, a to ve lhůtě do 30-ti kalendářních dní od doručení příslušné písemné nebo e-mailové reklamace kupujícího, nebude-li mezi oběma stranami v jednotlivém případě dohodnuto jinak. Za odstranění vady v uvedené lhůtě se považuje i zapůjčení náhradního srovnatelného zboží v této lhůtě, a to na dobu nezbytnou k odstranění reklamované vady.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80" w:right="0" w:hanging="480"/>
        <w:jc w:val="both"/>
      </w:pPr>
      <w:r>
        <w:rPr>
          <w:rStyle w:val="CharStyle8"/>
        </w:rPr>
        <w:t>Neodstraní-li prodávající reklamovanou vadu ve lhůtě podle čl. 8 této smlouvy, ani v dodatečné lhůtě poskytnuté v písemné výzvě kupujícího, je kupující oprávněn nechat provést toto odstranění třetí osobou na náklad prodávajícího.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80" w:right="0" w:hanging="480"/>
        <w:jc w:val="both"/>
      </w:pPr>
      <w:r>
        <w:rPr>
          <w:rStyle w:val="CharStyle8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80" w:right="0" w:hanging="480"/>
        <w:jc w:val="both"/>
      </w:pPr>
      <w:r>
        <w:rPr>
          <w:rStyle w:val="CharStyle8"/>
        </w:rPr>
        <w:t>Pro případ prodlení se splněním závazku prodávajícího k dodání zboží ve lhůtě podle čl. 3 této smlouvy se prodávající zavazuje platit kupujícímu smluvní pokutu ve výši 0,1 % z kupní ceny podle čl. 6 této smlouvy za každý započatý den tohoto prodlení. Pro případ prodlení s odstraněním vady ve lhůtě podle čl. 8 této smlouvy se prodávající zavazuje platit kupujícímu smluvní pokutu ve výši 500,- Kč za každý započatý den prodlení s odstraněním vady.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80" w:right="0" w:hanging="480"/>
        <w:jc w:val="both"/>
      </w:pPr>
      <w:r>
        <w:rPr>
          <w:rStyle w:val="CharStyle8"/>
        </w:rPr>
        <w:t>Obě strany se dohodly, že zaplacením smluvní pokuty podle čl. 11 této smlouvy není nijak dotčeno právo kupujícího na náhradu škody v plné výši. Tímto ujednáním se přitom vylučuje aplikace § 2050 na vztah mezi oběma stranami podle této smlouvy.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80" w:right="0" w:hanging="480"/>
        <w:jc w:val="both"/>
      </w:pPr>
      <w:r>
        <w:rPr>
          <w:rStyle w:val="CharStyle8"/>
        </w:rPr>
        <w:t>Pro případ prodlení se splněním jeho závazku k dodání zboží ve lhůtě podle čl. 3 této smlouvy o více, než 2 týdny nebo pro případ výskytu neodstranitelné vady resp. výskytu 3 a více vad na zboží, a to i postupně, je kupující oprávněn odstoupit od této smlouvy s účinky ex tunc.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52" w:lineRule="auto"/>
        <w:ind w:left="480" w:right="0" w:hanging="480"/>
        <w:jc w:val="both"/>
      </w:pPr>
      <w:r>
        <w:rPr>
          <w:rStyle w:val="CharStyle8"/>
        </w:rPr>
        <w:t>Pro případ prodlení kupujícího se zaplacením kupní ceny ve lhůtě podle čl. 7 této smlouvy o víc, než 2 týdny, je prodávající oprávněn od této smlouvy odstoupit s účinky ex tunc.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80" w:right="0" w:hanging="480"/>
        <w:jc w:val="both"/>
      </w:pPr>
      <w:r>
        <w:rPr>
          <w:rStyle w:val="CharStyle8"/>
        </w:rPr>
        <w:t>Není-li touto smlouvou ujednáno jinak, řídí se vzájemný právní vztah mezi kupujícím a prodávajícím při realizaci této smlouvy § 2079 až 2131 násl. občanského zákoníku, přičemž tato právní úprava má přednost před nepsanými obchodními zvyklostmi. Tímto ujednáním se přitom vylučuje aplikaci § 558 občanského zákoníku na vztah mezi oběma stranami podle této smlouvy.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80" w:right="0" w:hanging="48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038" w:right="1203" w:bottom="1472" w:left="1337" w:header="61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8"/>
        </w:rPr>
        <w:t>Tato smlouva se uzavírá na základě návrhu na její uzavření ze strany kupujícího. Předpokladem uzavření této smlouvy je její písemná forma a dohoda o celém jejím obsahu jak je obsažen</w:t>
      </w:r>
    </w:p>
    <w:p>
      <w:pPr>
        <w:pStyle w:val="Style7"/>
        <w:keepNext w:val="0"/>
        <w:keepLines w:val="0"/>
        <w:framePr w:w="8861" w:h="4560" w:wrap="none" w:hAnchor="page" w:x="1427" w:y="1"/>
        <w:widowControl w:val="0"/>
        <w:shd w:val="clear" w:color="auto" w:fill="auto"/>
        <w:bidi w:val="0"/>
        <w:spacing w:before="0" w:after="240" w:line="240" w:lineRule="auto"/>
        <w:ind w:left="400" w:right="0" w:firstLine="20"/>
        <w:jc w:val="both"/>
      </w:pPr>
      <w:r>
        <w:rPr>
          <w:rStyle w:val="CharStyle8"/>
        </w:rPr>
        <w:t>v jejích článcích 1 až 21. Kupující přitom předem vylučuje přijetí tohoto návrhu s dodatkem nebo odchylkou ve smyslu § 1740 odst. 3 občanského zákoníku.</w:t>
      </w:r>
    </w:p>
    <w:p>
      <w:pPr>
        <w:pStyle w:val="Style7"/>
        <w:keepNext w:val="0"/>
        <w:keepLines w:val="0"/>
        <w:framePr w:w="8861" w:h="4560" w:wrap="none" w:hAnchor="page" w:x="1427" w:y="1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240" w:line="240" w:lineRule="auto"/>
        <w:ind w:left="400" w:right="0" w:hanging="400"/>
        <w:jc w:val="both"/>
      </w:pPr>
      <w:r>
        <w:rPr>
          <w:rStyle w:val="CharStyle8"/>
        </w:rPr>
        <w:t>Smluvní strany souhlasí se zveřejněním smlouvy v úplném znění, stejně jako s uveřejněním úplného znění případných dohod (dodatků), kterými se smlouva doplňuje, mění, nahrazuje nebo ruší, a to zejména prostřednictvím Registru smluv v souladu se zákonem č. 340/2015 Sb., o registru smluv, ve znění pozdějších předpisů. Smluvní strany se dohodly, že uveřejnění v registru smluv včetně uvedení metadat provede kupující.</w:t>
      </w:r>
    </w:p>
    <w:p>
      <w:pPr>
        <w:pStyle w:val="Style7"/>
        <w:keepNext w:val="0"/>
        <w:keepLines w:val="0"/>
        <w:framePr w:w="8861" w:h="4560" w:wrap="none" w:hAnchor="page" w:x="1427" w:y="1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240" w:line="240" w:lineRule="auto"/>
        <w:ind w:left="0" w:right="0" w:firstLine="0"/>
        <w:jc w:val="both"/>
      </w:pPr>
      <w:r>
        <w:rPr>
          <w:rStyle w:val="CharStyle8"/>
        </w:rPr>
        <w:t>Tuto smlouvu lze změnit nebo zrušit pouze jinou písemnou dohodou obou smluvních stran.</w:t>
      </w:r>
    </w:p>
    <w:p>
      <w:pPr>
        <w:pStyle w:val="Style7"/>
        <w:keepNext w:val="0"/>
        <w:keepLines w:val="0"/>
        <w:framePr w:w="8861" w:h="4560" w:wrap="none" w:hAnchor="page" w:x="1427" w:y="1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240" w:line="240" w:lineRule="auto"/>
        <w:ind w:left="400" w:right="0" w:hanging="400"/>
        <w:jc w:val="both"/>
      </w:pPr>
      <w:r>
        <w:rPr>
          <w:rStyle w:val="CharStyle8"/>
        </w:rPr>
        <w:t>Tato smlouva nabývá účinnosti po jejím podpisu oběma smluvními stranami dnem jejího uveřejnění v Registru smluv dle čl. 17.</w:t>
      </w:r>
    </w:p>
    <w:p>
      <w:pPr>
        <w:pStyle w:val="Style7"/>
        <w:keepNext w:val="0"/>
        <w:keepLines w:val="0"/>
        <w:framePr w:w="8861" w:h="4560" w:wrap="none" w:hAnchor="page" w:x="1427" w:y="1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240" w:line="240" w:lineRule="auto"/>
        <w:ind w:left="400" w:right="0" w:hanging="400"/>
        <w:jc w:val="both"/>
      </w:pPr>
      <w:r>
        <w:rPr>
          <w:rStyle w:val="CharStyle8"/>
        </w:rPr>
        <w:t>Prodávající uděluje kupujícímu svůj výslovný souhlas se zveřejněním podmínek této smlouvy v rozsahu a za podmínek vyplývajících z příslušných právních předpisů (zejména dle zákona č. 106/1999 Sb., o svobodném přístupu k informacím, v platném znění).</w:t>
      </w:r>
    </w:p>
    <w:p>
      <w:pPr>
        <w:pStyle w:val="Style7"/>
        <w:keepNext w:val="0"/>
        <w:keepLines w:val="0"/>
        <w:framePr w:w="8861" w:h="4560" w:wrap="none" w:hAnchor="page" w:x="1427" w:y="1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240" w:line="240" w:lineRule="auto"/>
        <w:ind w:left="400" w:right="0" w:hanging="400"/>
        <w:jc w:val="both"/>
      </w:pPr>
      <w:r>
        <w:rPr>
          <w:rStyle w:val="CharStyle8"/>
        </w:rPr>
        <w:t>Dáno ve dvou originálních písemných vyhotoveních, z nichž každá ze smluvních stran obdrží po jednom.</w:t>
      </w:r>
    </w:p>
    <w:p>
      <w:pPr>
        <w:pStyle w:val="Style7"/>
        <w:keepNext w:val="0"/>
        <w:keepLines w:val="0"/>
        <w:framePr w:w="2074" w:h="235" w:wrap="none" w:hAnchor="page" w:x="1417" w:y="5219"/>
        <w:widowControl w:val="0"/>
        <w:shd w:val="clear" w:color="auto" w:fill="auto"/>
        <w:tabs>
          <w:tab w:leader="dot" w:pos="926" w:val="left"/>
          <w:tab w:leader="dot" w:pos="201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V</w:t>
        <w:tab/>
        <w:t>dne</w:t>
        <w:tab/>
      </w:r>
    </w:p>
    <w:p>
      <w:pPr>
        <w:pStyle w:val="Style7"/>
        <w:keepNext w:val="0"/>
        <w:keepLines w:val="0"/>
        <w:framePr w:w="2040" w:h="235" w:wrap="none" w:hAnchor="page" w:x="6621" w:y="52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V Praze dne 28.3.2023</w:t>
      </w:r>
    </w:p>
    <w:p>
      <w:pPr>
        <w:pStyle w:val="Style39"/>
        <w:keepNext w:val="0"/>
        <w:keepLines w:val="0"/>
        <w:framePr w:w="3422" w:h="782" w:wrap="none" w:hAnchor="page" w:x="1360" w:y="5756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40"/>
          <w:b/>
          <w:bCs/>
          <w:sz w:val="19"/>
          <w:szCs w:val="19"/>
          <w:shd w:val="clear" w:color="auto" w:fill="000000"/>
        </w:rPr>
        <w:t>.</w:t>
      </w:r>
      <w:r>
        <w:rPr>
          <w:rStyle w:val="CharStyle40"/>
          <w:b/>
          <w:bCs/>
          <w:spacing w:val="1"/>
          <w:sz w:val="19"/>
          <w:szCs w:val="19"/>
          <w:shd w:val="clear" w:color="auto" w:fill="000000"/>
        </w:rPr>
        <w:t>.....</w:t>
      </w:r>
      <w:r>
        <w:rPr>
          <w:rStyle w:val="CharStyle40"/>
          <w:b/>
          <w:bCs/>
          <w:sz w:val="19"/>
          <w:szCs w:val="19"/>
          <w:shd w:val="clear" w:color="auto" w:fill="000000"/>
        </w:rPr>
        <w:t>​</w:t>
      </w:r>
      <w:r>
        <w:rPr>
          <w:rStyle w:val="CharStyle40"/>
          <w:b/>
          <w:bCs/>
          <w:spacing w:val="10"/>
          <w:sz w:val="19"/>
          <w:szCs w:val="19"/>
          <w:shd w:val="clear" w:color="auto" w:fill="000000"/>
        </w:rPr>
        <w:t>..</w:t>
      </w:r>
      <w:r>
        <w:rPr>
          <w:rStyle w:val="CharStyle40"/>
          <w:b/>
          <w:bCs/>
          <w:spacing w:val="11"/>
          <w:sz w:val="19"/>
          <w:szCs w:val="19"/>
          <w:shd w:val="clear" w:color="auto" w:fill="000000"/>
        </w:rPr>
        <w:t>.</w:t>
      </w:r>
      <w:r>
        <w:rPr>
          <w:rStyle w:val="CharStyle40"/>
          <w:b/>
          <w:bCs/>
          <w:spacing w:val="14"/>
          <w:sz w:val="19"/>
          <w:szCs w:val="19"/>
          <w:shd w:val="clear" w:color="auto" w:fill="000000"/>
          <w:vertAlign w:val="subscript"/>
        </w:rPr>
        <w:t>.</w:t>
      </w:r>
      <w:r>
        <w:rPr>
          <w:rStyle w:val="CharStyle40"/>
          <w:b/>
          <w:bCs/>
          <w:sz w:val="19"/>
          <w:szCs w:val="19"/>
          <w:shd w:val="clear" w:color="auto" w:fill="000000"/>
        </w:rPr>
        <w:t>.​..</w:t>
      </w:r>
      <w:r>
        <w:rPr>
          <w:rStyle w:val="CharStyle40"/>
          <w:spacing w:val="2"/>
          <w:shd w:val="clear" w:color="auto" w:fill="000000"/>
        </w:rPr>
        <w:t>.......</w:t>
      </w:r>
      <w:r>
        <w:rPr>
          <w:rStyle w:val="CharStyle40"/>
          <w:spacing w:val="3"/>
          <w:shd w:val="clear" w:color="auto" w:fill="000000"/>
        </w:rPr>
        <w:t>.......</w:t>
      </w:r>
      <w:r>
        <w:rPr>
          <w:rStyle w:val="CharStyle40"/>
          <w:shd w:val="clear" w:color="auto" w:fill="000000"/>
        </w:rPr>
        <w:t>​</w:t>
      </w:r>
      <w:r>
        <w:rPr>
          <w:rStyle w:val="CharStyle40"/>
          <w:spacing w:val="1"/>
          <w:shd w:val="clear" w:color="auto" w:fill="000000"/>
        </w:rPr>
        <w:t>..........</w:t>
      </w:r>
      <w:r>
        <w:rPr>
          <w:rStyle w:val="CharStyle40"/>
          <w:spacing w:val="2"/>
          <w:shd w:val="clear" w:color="auto" w:fill="000000"/>
        </w:rPr>
        <w:t>....</w:t>
      </w:r>
      <w:r>
        <w:rPr>
          <w:rStyle w:val="CharStyle40"/>
        </w:rPr>
        <w:t xml:space="preserve"> </w:t>
      </w:r>
      <w:r>
        <w:rPr>
          <w:rStyle w:val="CharStyle40"/>
          <w:b/>
          <w:bCs/>
          <w:sz w:val="19"/>
          <w:szCs w:val="19"/>
          <w:shd w:val="clear" w:color="auto" w:fill="000000"/>
        </w:rPr>
        <w:t>​</w:t>
      </w:r>
      <w:r>
        <w:rPr>
          <w:rStyle w:val="CharStyle40"/>
          <w:b/>
          <w:bCs/>
          <w:spacing w:val="3"/>
          <w:sz w:val="19"/>
          <w:szCs w:val="19"/>
          <w:shd w:val="clear" w:color="auto" w:fill="000000"/>
        </w:rPr>
        <w:t>.......</w:t>
      </w:r>
      <w:r>
        <w:rPr>
          <w:rStyle w:val="CharStyle40"/>
          <w:b/>
          <w:bCs/>
          <w:spacing w:val="4"/>
          <w:sz w:val="19"/>
          <w:szCs w:val="19"/>
          <w:shd w:val="clear" w:color="auto" w:fill="000000"/>
        </w:rPr>
        <w:t>.....</w:t>
      </w:r>
      <w:r>
        <w:rPr>
          <w:rStyle w:val="CharStyle40"/>
          <w:b/>
          <w:bCs/>
          <w:sz w:val="19"/>
          <w:szCs w:val="19"/>
          <w:shd w:val="clear" w:color="auto" w:fill="000000"/>
        </w:rPr>
        <w:t>​</w:t>
      </w:r>
      <w:r>
        <w:rPr>
          <w:rStyle w:val="CharStyle40"/>
          <w:b/>
          <w:bCs/>
          <w:spacing w:val="5"/>
          <w:sz w:val="19"/>
          <w:szCs w:val="19"/>
          <w:shd w:val="clear" w:color="auto" w:fill="000000"/>
        </w:rPr>
        <w:t>.....</w:t>
      </w:r>
      <w:r>
        <w:rPr>
          <w:rStyle w:val="CharStyle40"/>
          <w:b/>
          <w:bCs/>
          <w:spacing w:val="6"/>
          <w:sz w:val="19"/>
          <w:szCs w:val="19"/>
          <w:shd w:val="clear" w:color="auto" w:fill="000000"/>
        </w:rPr>
        <w:t>.</w:t>
      </w:r>
      <w:r>
        <w:rPr>
          <w:rStyle w:val="CharStyle40"/>
          <w:b/>
          <w:bCs/>
          <w:sz w:val="19"/>
          <w:szCs w:val="19"/>
          <w:shd w:val="clear" w:color="auto" w:fill="000000"/>
        </w:rPr>
        <w:t>​</w:t>
      </w:r>
      <w:r>
        <w:rPr>
          <w:rStyle w:val="CharStyle40"/>
          <w:b/>
          <w:bCs/>
          <w:spacing w:val="2"/>
          <w:sz w:val="19"/>
          <w:szCs w:val="19"/>
          <w:shd w:val="clear" w:color="auto" w:fill="000000"/>
        </w:rPr>
        <w:t>..</w:t>
      </w:r>
      <w:r>
        <w:rPr>
          <w:rStyle w:val="CharStyle40"/>
          <w:b/>
          <w:bCs/>
          <w:spacing w:val="3"/>
          <w:sz w:val="19"/>
          <w:szCs w:val="19"/>
          <w:shd w:val="clear" w:color="auto" w:fill="000000"/>
        </w:rPr>
        <w:t>..</w:t>
      </w:r>
      <w:r>
        <w:rPr>
          <w:rStyle w:val="CharStyle40"/>
          <w:b/>
          <w:bCs/>
          <w:sz w:val="19"/>
          <w:szCs w:val="19"/>
          <w:shd w:val="clear" w:color="auto" w:fill="000000"/>
          <w:vertAlign w:val="subscript"/>
        </w:rPr>
        <w:t>​</w:t>
      </w:r>
      <w:r>
        <w:rPr>
          <w:rStyle w:val="CharStyle40"/>
          <w:b/>
          <w:bCs/>
          <w:spacing w:val="2"/>
          <w:sz w:val="19"/>
          <w:szCs w:val="19"/>
          <w:shd w:val="clear" w:color="auto" w:fill="000000"/>
          <w:vertAlign w:val="subscript"/>
        </w:rPr>
        <w:t>...</w:t>
      </w:r>
      <w:r>
        <w:rPr>
          <w:rStyle w:val="CharStyle40"/>
          <w:b/>
          <w:bCs/>
          <w:spacing w:val="3"/>
          <w:sz w:val="19"/>
          <w:szCs w:val="19"/>
          <w:shd w:val="clear" w:color="auto" w:fill="000000"/>
          <w:vertAlign w:val="subscript"/>
        </w:rPr>
        <w:t>......</w:t>
      </w:r>
      <w:r>
        <w:rPr>
          <w:rStyle w:val="CharStyle40"/>
          <w:b/>
          <w:bCs/>
          <w:sz w:val="19"/>
          <w:szCs w:val="19"/>
          <w:shd w:val="clear" w:color="auto" w:fill="000000"/>
        </w:rPr>
        <w:t>.</w:t>
      </w:r>
      <w:r>
        <w:rPr>
          <w:rStyle w:val="CharStyle40"/>
          <w:shd w:val="clear" w:color="auto" w:fill="000000"/>
        </w:rPr>
        <w:t>​</w:t>
      </w:r>
      <w:r>
        <w:rPr>
          <w:rStyle w:val="CharStyle40"/>
          <w:spacing w:val="1"/>
          <w:shd w:val="clear" w:color="auto" w:fill="000000"/>
        </w:rPr>
        <w:t>.....</w:t>
      </w:r>
      <w:r>
        <w:rPr>
          <w:rStyle w:val="CharStyle40"/>
          <w:spacing w:val="2"/>
          <w:shd w:val="clear" w:color="auto" w:fill="000000"/>
        </w:rPr>
        <w:t>....</w:t>
      </w:r>
      <w:r>
        <w:rPr>
          <w:rStyle w:val="CharStyle40"/>
          <w:shd w:val="clear" w:color="auto" w:fill="000000"/>
        </w:rPr>
        <w:t>​</w:t>
      </w:r>
      <w:r>
        <w:rPr>
          <w:rStyle w:val="CharStyle40"/>
          <w:spacing w:val="1"/>
          <w:shd w:val="clear" w:color="auto" w:fill="000000"/>
        </w:rPr>
        <w:t>...</w:t>
      </w:r>
      <w:r>
        <w:rPr>
          <w:rStyle w:val="CharStyle40"/>
          <w:spacing w:val="2"/>
          <w:shd w:val="clear" w:color="auto" w:fill="000000"/>
        </w:rPr>
        <w:t>.....</w:t>
      </w:r>
      <w:r>
        <w:rPr>
          <w:rStyle w:val="CharStyle40"/>
        </w:rPr>
        <w:t>chtová</w:t>
      </w:r>
    </w:p>
    <w:p>
      <w:pPr>
        <w:pStyle w:val="Style55"/>
        <w:keepNext w:val="0"/>
        <w:keepLines w:val="0"/>
        <w:framePr w:w="3422" w:h="782" w:wrap="none" w:hAnchor="page" w:x="1360" w:y="575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56"/>
          <w:shd w:val="clear" w:color="auto" w:fill="000000"/>
        </w:rPr>
        <w:t>......</w:t>
      </w:r>
      <w:r>
        <w:rPr>
          <w:rStyle w:val="CharStyle56"/>
          <w:spacing w:val="1"/>
          <w:shd w:val="clear" w:color="auto" w:fill="000000"/>
        </w:rPr>
        <w:t>................</w:t>
      </w:r>
      <w:r>
        <w:rPr>
          <w:rStyle w:val="CharStyle56"/>
          <w:spacing w:val="56"/>
          <w:shd w:val="clear" w:color="auto" w:fill="000000"/>
        </w:rPr>
        <w:t>.</w:t>
      </w:r>
    </w:p>
    <w:p>
      <w:pPr>
        <w:pStyle w:val="Style7"/>
        <w:keepNext w:val="0"/>
        <w:keepLines w:val="0"/>
        <w:framePr w:w="2198" w:h="715" w:wrap="none" w:hAnchor="page" w:x="1432" w:y="6788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rStyle w:val="CharStyle8"/>
        </w:rPr>
        <w:t>MUDr. Hana Albrechtová ředitelka</w:t>
      </w:r>
    </w:p>
    <w:p>
      <w:pPr>
        <w:pStyle w:val="Style7"/>
        <w:keepNext w:val="0"/>
        <w:keepLines w:val="0"/>
        <w:framePr w:w="2198" w:h="715" w:wrap="none" w:hAnchor="page" w:x="1432" w:y="6788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rStyle w:val="CharStyle8"/>
          <w:b/>
          <w:bCs/>
        </w:rPr>
        <w:t>Kupující</w:t>
      </w:r>
    </w:p>
    <w:p>
      <w:pPr>
        <w:pStyle w:val="Style60"/>
        <w:keepNext/>
        <w:keepLines/>
        <w:framePr w:w="2789" w:h="1334" w:wrap="none" w:hAnchor="page" w:x="6606" w:y="6179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right"/>
      </w:pPr>
      <w:r>
        <w:rPr>
          <w:rStyle w:val="CharStyle61"/>
          <w:i/>
          <w:iCs/>
          <w:shd w:val="clear" w:color="auto" w:fill="000000"/>
        </w:rPr>
        <w:t>...</w:t>
      </w:r>
      <w:bookmarkStart w:id="0" w:name="bookmark0"/>
      <w:bookmarkEnd w:id="0"/>
    </w:p>
    <w:p>
      <w:pPr>
        <w:pStyle w:val="Style60"/>
        <w:keepNext/>
        <w:keepLines/>
        <w:framePr w:w="2789" w:h="1334" w:wrap="none" w:hAnchor="page" w:x="6606" w:y="6179"/>
        <w:widowControl w:val="0"/>
        <w:shd w:val="clear" w:color="auto" w:fill="auto"/>
        <w:tabs>
          <w:tab w:leader="underscore" w:pos="2314" w:val="left"/>
        </w:tabs>
        <w:bidi w:val="0"/>
        <w:spacing w:before="0" w:after="200" w:line="194" w:lineRule="auto"/>
        <w:ind w:left="1320" w:right="0" w:firstLine="0"/>
        <w:jc w:val="left"/>
      </w:pPr>
      <w:r>
        <w:rPr>
          <w:rStyle w:val="CharStyle61"/>
          <w:i/>
          <w:iCs/>
          <w:u w:val="single"/>
          <w:shd w:val="clear" w:color="auto" w:fill="000000"/>
        </w:rPr>
        <w:t>..</w:t>
      </w:r>
      <w:bookmarkStart w:id="2" w:name="bookmark2"/>
      <w:r>
        <w:rPr>
          <w:rStyle w:val="CharStyle61"/>
          <w:i/>
          <w:iCs/>
          <w:u w:val="single"/>
          <w:shd w:val="clear" w:color="auto" w:fill="000000"/>
        </w:rPr>
        <w:t>​</w:t>
      </w:r>
      <w:r>
        <w:rPr>
          <w:rStyle w:val="CharStyle61"/>
          <w:i/>
          <w:iCs/>
          <w:spacing w:val="1"/>
          <w:u w:val="single"/>
          <w:shd w:val="clear" w:color="auto" w:fill="000000"/>
        </w:rPr>
        <w:t>..........</w:t>
      </w:r>
      <w:r>
        <w:rPr>
          <w:rStyle w:val="CharStyle61"/>
          <w:i/>
          <w:iCs/>
          <w:spacing w:val="2"/>
          <w:u w:val="single"/>
          <w:shd w:val="clear" w:color="auto" w:fill="000000"/>
        </w:rPr>
        <w:t>....</w:t>
      </w:r>
      <w:bookmarkEnd w:id="2"/>
    </w:p>
    <w:p>
      <w:pPr>
        <w:pStyle w:val="Style7"/>
        <w:keepNext w:val="0"/>
        <w:keepLines w:val="0"/>
        <w:framePr w:w="2789" w:h="1334" w:wrap="none" w:hAnchor="page" w:x="6606" w:y="6179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rStyle w:val="CharStyle8"/>
        </w:rPr>
        <w:t xml:space="preserve">Tomas Jankovec </w:t>
      </w:r>
      <w:r>
        <w:rPr>
          <w:rStyle w:val="CharStyle8"/>
          <w:color w:val="869EC8"/>
        </w:rPr>
        <w:t xml:space="preserve">jednatel^ </w:t>
      </w:r>
      <w:r>
        <w:rPr>
          <w:rStyle w:val="CharStyle8"/>
          <w:b/>
          <w:bCs/>
        </w:rPr>
        <w:t>Prodávč -i</w:t>
      </w:r>
    </w:p>
    <w:p>
      <w:pPr>
        <w:pStyle w:val="Style7"/>
        <w:keepNext w:val="0"/>
        <w:keepLines w:val="0"/>
        <w:framePr w:w="2414" w:h="245" w:wrap="none" w:hAnchor="page" w:x="1427" w:y="88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Příloha č. 1 Specifikace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284" w:right="1124" w:bottom="1052" w:left="1359" w:header="856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0" w:after="5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84" w:right="0" w:bottom="123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67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68"/>
          <w:spacing w:val="9"/>
          <w:shd w:val="clear" w:color="auto" w:fill="000000"/>
        </w:rPr>
        <w:t>..</w:t>
      </w:r>
      <w:r>
        <w:rPr>
          <w:rStyle w:val="CharStyle68"/>
          <w:spacing w:val="10"/>
          <w:shd w:val="clear" w:color="auto" w:fill="000000"/>
        </w:rPr>
        <w:t>........</w:t>
      </w:r>
      <w:bookmarkStart w:id="4" w:name="bookmark4"/>
      <w:bookmarkEnd w:id="4"/>
    </w:p>
    <w:p>
      <w:pPr>
        <w:pStyle w:val="Style6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8"/>
          <w:spacing w:val="2"/>
          <w:shd w:val="clear" w:color="auto" w:fill="000000"/>
        </w:rPr>
        <w:t>..............</w:t>
      </w:r>
      <w:r>
        <w:rPr>
          <w:rStyle w:val="CharStyle68"/>
          <w:spacing w:val="3"/>
          <w:shd w:val="clear" w:color="auto" w:fill="000000"/>
        </w:rPr>
        <w:t>.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7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284" w:right="1123" w:bottom="1230" w:left="4109" w:header="0" w:footer="3" w:gutter="0"/>
          <w:cols w:num="2" w:space="688"/>
          <w:noEndnote/>
          <w:rtlGutter w:val="0"/>
          <w:docGrid w:linePitch="360"/>
        </w:sectPr>
      </w:pPr>
      <w:r>
        <w:rPr>
          <w:rStyle w:val="CharStyle74"/>
          <w:spacing w:val="1"/>
          <w:shd w:val="clear" w:color="auto" w:fill="000000"/>
        </w:rPr>
        <w:t>.........</w:t>
      </w:r>
      <w:r>
        <w:rPr>
          <w:rStyle w:val="CharStyle74"/>
          <w:spacing w:val="2"/>
          <w:shd w:val="clear" w:color="auto" w:fill="000000"/>
        </w:rPr>
        <w:t>..........</w:t>
      </w:r>
      <w:r>
        <w:rPr>
          <w:rStyle w:val="CharStyle74"/>
          <w:shd w:val="clear" w:color="auto" w:fill="000000"/>
        </w:rPr>
        <w:t>​</w:t>
      </w:r>
      <w:r>
        <w:rPr>
          <w:rStyle w:val="CharStyle74"/>
          <w:spacing w:val="2"/>
          <w:shd w:val="clear" w:color="auto" w:fill="000000"/>
        </w:rPr>
        <w:t>..........</w:t>
      </w:r>
      <w:r>
        <w:rPr>
          <w:rStyle w:val="CharStyle74"/>
          <w:spacing w:val="3"/>
          <w:shd w:val="clear" w:color="auto" w:fill="000000"/>
        </w:rPr>
        <w:t>........</w:t>
      </w:r>
      <w:r>
        <w:rPr>
          <w:rStyle w:val="CharStyle74"/>
        </w:rPr>
        <w:t xml:space="preserve"> </w:t>
      </w:r>
      <w:r>
        <w:rPr>
          <w:rStyle w:val="CharStyle74"/>
          <w:shd w:val="clear" w:color="auto" w:fill="000000"/>
        </w:rPr>
        <w:t>​...</w:t>
      </w:r>
      <w:r>
        <w:rPr>
          <w:rStyle w:val="CharStyle74"/>
          <w:spacing w:val="1"/>
          <w:shd w:val="clear" w:color="auto" w:fill="000000"/>
        </w:rPr>
        <w:t>...........</w:t>
      </w:r>
      <w:r>
        <w:rPr>
          <w:rStyle w:val="CharStyle74"/>
          <w:shd w:val="clear" w:color="auto" w:fill="000000"/>
        </w:rPr>
        <w:t>​</w:t>
      </w:r>
      <w:r>
        <w:rPr>
          <w:rStyle w:val="CharStyle74"/>
          <w:spacing w:val="1"/>
          <w:shd w:val="clear" w:color="auto" w:fill="000000"/>
        </w:rPr>
        <w:t>................</w:t>
      </w:r>
      <w:r>
        <w:rPr>
          <w:rStyle w:val="CharStyle74"/>
          <w:spacing w:val="2"/>
          <w:shd w:val="clear" w:color="auto" w:fill="000000"/>
        </w:rPr>
        <w:t>..</w:t>
      </w:r>
      <w:r>
        <w:rPr>
          <w:rStyle w:val="CharStyle74"/>
        </w:rPr>
        <w:t xml:space="preserve"> </w:t>
      </w:r>
      <w:r>
        <w:rPr>
          <w:rStyle w:val="CharStyle74"/>
          <w:shd w:val="clear" w:color="auto" w:fill="000000"/>
        </w:rPr>
        <w:t>​</w:t>
      </w:r>
      <w:r>
        <w:rPr>
          <w:rStyle w:val="CharStyle74"/>
          <w:spacing w:val="4"/>
          <w:shd w:val="clear" w:color="auto" w:fill="000000"/>
        </w:rPr>
        <w:t>.......</w:t>
      </w:r>
      <w:r>
        <w:rPr>
          <w:rStyle w:val="CharStyle74"/>
          <w:spacing w:val="5"/>
          <w:shd w:val="clear" w:color="auto" w:fill="000000"/>
        </w:rPr>
        <w:t>........</w:t>
      </w:r>
      <w:r>
        <w:rPr>
          <w:rStyle w:val="CharStyle74"/>
          <w:shd w:val="clear" w:color="auto" w:fill="000000"/>
        </w:rPr>
        <w:t>​</w:t>
      </w:r>
      <w:r>
        <w:rPr>
          <w:rStyle w:val="CharStyle74"/>
          <w:spacing w:val="2"/>
          <w:shd w:val="clear" w:color="auto" w:fill="000000"/>
        </w:rPr>
        <w:t>.....</w:t>
      </w:r>
      <w:r>
        <w:rPr>
          <w:rStyle w:val="CharStyle74"/>
          <w:spacing w:val="3"/>
          <w:shd w:val="clear" w:color="auto" w:fill="000000"/>
        </w:rPr>
        <w:t>................</w:t>
      </w:r>
      <w:r>
        <w:rPr>
          <w:rStyle w:val="CharStyle74"/>
        </w:rPr>
        <w:t xml:space="preserve"> </w:t>
      </w:r>
      <w:r>
        <w:rPr>
          <w:rStyle w:val="CharStyle74"/>
          <w:shd w:val="clear" w:color="auto" w:fill="000000"/>
        </w:rPr>
        <w:t>​</w:t>
      </w:r>
      <w:r>
        <w:rPr>
          <w:rStyle w:val="CharStyle74"/>
          <w:spacing w:val="2"/>
          <w:shd w:val="clear" w:color="auto" w:fill="000000"/>
        </w:rPr>
        <w:t>.....................</w:t>
      </w:r>
      <w:r>
        <w:rPr>
          <w:rStyle w:val="CharStyle74"/>
          <w:spacing w:val="3"/>
          <w:shd w:val="clear" w:color="auto" w:fill="000000"/>
        </w:rPr>
        <w:t>.........</w:t>
      </w:r>
      <w:r>
        <w:rPr>
          <w:rStyle w:val="CharStyle74"/>
          <w:spacing w:val="4"/>
          <w:shd w:val="clear" w:color="auto" w:fill="000000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52" w:lineRule="auto"/>
        <w:ind w:left="0" w:right="0" w:firstLine="0"/>
        <w:jc w:val="both"/>
      </w:pPr>
      <w:r>
        <w:rPr>
          <w:rStyle w:val="CharStyle8"/>
          <w:b/>
          <w:bCs/>
        </w:rPr>
        <w:t>Příloha č. 1 Specifikace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52" w:lineRule="auto"/>
        <w:ind w:left="0" w:right="0" w:firstLine="0"/>
        <w:jc w:val="both"/>
      </w:pPr>
      <w:r>
        <w:rPr>
          <w:rStyle w:val="CharStyle8"/>
          <w:b/>
          <w:bCs/>
        </w:rPr>
        <w:t>Technická specifikace přileb: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rStyle w:val="CharStyle8"/>
        </w:rPr>
        <w:t>Přilba člena letecké výjezdové skupiny, používaná ve smyslu zákona č. 262/2006 Sb., zákoník práce, ve znění pozdějších předpisů a technické normy ČSN EN 13718-2,- Table B2 jako ochranný prostředek a zajišťující komunikační kompatibilitu všech ochranných přileb členů posádky letecké záchranné služby (LZS) na palubě vrtulníku i mimo ni.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" w:line="252" w:lineRule="auto"/>
        <w:ind w:left="0" w:right="0" w:firstLine="0"/>
        <w:jc w:val="both"/>
      </w:pPr>
      <w:r>
        <w:rPr>
          <w:rStyle w:val="CharStyle8"/>
        </w:rPr>
        <w:t>Požadavky.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42" w:val="left"/>
        </w:tabs>
        <w:bidi w:val="0"/>
        <w:spacing w:before="0" w:after="40" w:line="252" w:lineRule="auto"/>
        <w:ind w:left="540" w:right="0" w:hanging="540"/>
        <w:jc w:val="both"/>
      </w:pPr>
      <w:r>
        <w:rPr>
          <w:rStyle w:val="CharStyle8"/>
        </w:rPr>
        <w:t>Certifikovaná komunikační letecká přilba navržená tak, aby zajišťovala požadovanou ochranu členům posádek vrtulníků, zdravotnickému a pomocnému personálu.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42" w:val="left"/>
        </w:tabs>
        <w:bidi w:val="0"/>
        <w:spacing w:before="0" w:after="40" w:line="252" w:lineRule="auto"/>
        <w:ind w:left="540" w:right="0" w:hanging="540"/>
        <w:jc w:val="both"/>
      </w:pPr>
      <w:r>
        <w:rPr>
          <w:rStyle w:val="CharStyle8"/>
        </w:rPr>
        <w:t>Splňuje podmínky uložené Věstníkem Ministerstva zdravotnictví ČR 2019, částka 8 ze dne 30.8. 2019. mj. je kompatibilní s komunikačním systémem provozovatele vrtulníků, společností DSA a.s.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42" w:val="left"/>
        </w:tabs>
        <w:bidi w:val="0"/>
        <w:spacing w:before="0" w:after="40" w:line="259" w:lineRule="auto"/>
        <w:ind w:left="540" w:right="0" w:hanging="540"/>
        <w:jc w:val="both"/>
      </w:pPr>
      <w:r>
        <w:rPr>
          <w:rStyle w:val="CharStyle8"/>
        </w:rPr>
        <w:t>Ochrana hlavy, včetně zraku a sluchu, před úrazem, jasná komunikace v hlučném prostředí, a provozní komfort.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42" w:val="left"/>
        </w:tabs>
        <w:bidi w:val="0"/>
        <w:spacing w:before="0" w:after="40" w:line="252" w:lineRule="auto"/>
        <w:ind w:left="540" w:right="0" w:hanging="540"/>
        <w:jc w:val="both"/>
      </w:pPr>
      <w:r>
        <w:rPr>
          <w:rStyle w:val="CharStyle8"/>
        </w:rPr>
        <w:t>Ochrana proti nárazům a průniku skořepinou, materiál z vysoce výkonných kompozitů, uhlíkových vláken, a aramidu, s expandovanou polystyrénovou nárazovou vrstvou s vysokou hustotou.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42" w:val="left"/>
        </w:tabs>
        <w:bidi w:val="0"/>
        <w:spacing w:before="0" w:after="40" w:line="240" w:lineRule="auto"/>
        <w:ind w:left="540" w:right="0" w:hanging="540"/>
        <w:jc w:val="both"/>
      </w:pPr>
      <w:r>
        <w:rPr>
          <w:rStyle w:val="CharStyle8"/>
        </w:rPr>
        <w:t>Rozsah velikostí příleb od 52 do 63 cm, s možností volby velikosti skořepiny a následné další dodatečné korekce uživatelem, originálním polstrováním či výstelkou. Možnost nastavení tlaku sluchátek na uši.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42" w:val="left"/>
        </w:tabs>
        <w:bidi w:val="0"/>
        <w:spacing w:before="0" w:after="40" w:line="252" w:lineRule="auto"/>
        <w:ind w:left="0" w:right="0" w:firstLine="0"/>
        <w:jc w:val="both"/>
      </w:pPr>
      <w:r>
        <w:rPr>
          <w:rStyle w:val="CharStyle8"/>
        </w:rPr>
        <w:t>Hmotnost samotné přilby (bez doplňků, krytů, komunikace, aj.) do 1 kg.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42" w:val="left"/>
        </w:tabs>
        <w:bidi w:val="0"/>
        <w:spacing w:before="0" w:after="40" w:line="252" w:lineRule="auto"/>
        <w:ind w:left="0" w:right="0" w:firstLine="0"/>
        <w:jc w:val="both"/>
      </w:pPr>
      <w:r>
        <w:rPr>
          <w:rStyle w:val="CharStyle8"/>
        </w:rPr>
        <w:t>Vysoká úroveň pasivní ochrany proti hluku a šumu.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42" w:val="left"/>
        </w:tabs>
        <w:bidi w:val="0"/>
        <w:spacing w:before="0" w:after="40" w:line="252" w:lineRule="auto"/>
        <w:ind w:left="0" w:right="0" w:firstLine="0"/>
        <w:jc w:val="both"/>
      </w:pPr>
      <w:r>
        <w:rPr>
          <w:rStyle w:val="CharStyle8"/>
        </w:rPr>
        <w:t>Možnost regulace hlasitosti ve sluchátkách.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42" w:val="left"/>
        </w:tabs>
        <w:bidi w:val="0"/>
        <w:spacing w:before="0" w:after="40" w:line="240" w:lineRule="auto"/>
        <w:ind w:left="540" w:right="0" w:hanging="540"/>
        <w:jc w:val="both"/>
      </w:pPr>
      <w:r>
        <w:rPr>
          <w:rStyle w:val="CharStyle8"/>
        </w:rPr>
        <w:t>Minimálně dva ochranné zatahovací štíty, nastavitelné zorníky s UV a infračervenou ochranou a vysokou optickou kvalitou. Vnější štít čirý a vnitřní protisluneční. Široké zorné pole. Optická kvalita štítů splňující požadavky normy EN 1836:2005.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42" w:val="left"/>
        </w:tabs>
        <w:bidi w:val="0"/>
        <w:spacing w:before="0" w:after="40" w:line="252" w:lineRule="auto"/>
        <w:ind w:left="0" w:right="0" w:firstLine="0"/>
        <w:jc w:val="both"/>
      </w:pPr>
      <w:r>
        <w:rPr>
          <w:rStyle w:val="CharStyle8"/>
        </w:rPr>
        <w:t>Vnější barva skořepiny přilby bílá.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42" w:val="left"/>
        </w:tabs>
        <w:bidi w:val="0"/>
        <w:spacing w:before="0" w:after="40" w:line="252" w:lineRule="auto"/>
        <w:ind w:left="0" w:right="0" w:firstLine="0"/>
        <w:jc w:val="both"/>
      </w:pPr>
      <w:r>
        <w:rPr>
          <w:rStyle w:val="CharStyle8"/>
        </w:rPr>
        <w:t>Přilba neomezující pohyb hlavy, s těžištěm umístěným tak, aby zajišťovalo přirozenou stabilitu.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42" w:val="left"/>
        </w:tabs>
        <w:bidi w:val="0"/>
        <w:spacing w:before="0" w:after="40" w:line="252" w:lineRule="auto"/>
        <w:ind w:left="540" w:right="0" w:hanging="540"/>
        <w:jc w:val="both"/>
      </w:pPr>
      <w:r>
        <w:rPr>
          <w:rStyle w:val="CharStyle8"/>
        </w:rPr>
        <w:t>Nastavitelný a plně odnímatelný podhradní pásek-řemínek, ovladatelný i v rukavicích. Možnost levé i pravé varianty upínání.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42" w:val="left"/>
        </w:tabs>
        <w:bidi w:val="0"/>
        <w:spacing w:before="0" w:after="40" w:line="252" w:lineRule="auto"/>
        <w:ind w:left="0" w:right="0" w:firstLine="0"/>
        <w:jc w:val="both"/>
      </w:pPr>
      <w:r>
        <w:rPr>
          <w:rStyle w:val="CharStyle8"/>
        </w:rPr>
        <w:t>Umožňuje upnutí zařízení NVG (Night Vision Goggles).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42" w:val="left"/>
        </w:tabs>
        <w:bidi w:val="0"/>
        <w:spacing w:before="0" w:after="40" w:line="252" w:lineRule="auto"/>
        <w:ind w:left="0" w:right="0" w:firstLine="0"/>
        <w:jc w:val="both"/>
      </w:pPr>
      <w:r>
        <w:rPr>
          <w:rStyle w:val="CharStyle8"/>
        </w:rPr>
        <w:t>Přilba splňující požadavky normy ČSN EN 966+A1.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42" w:val="left"/>
        </w:tabs>
        <w:bidi w:val="0"/>
        <w:spacing w:before="0" w:after="40" w:line="252" w:lineRule="auto"/>
        <w:ind w:left="0" w:right="0" w:firstLine="0"/>
        <w:jc w:val="both"/>
      </w:pPr>
      <w:r>
        <w:rPr>
          <w:rStyle w:val="CharStyle8"/>
        </w:rPr>
        <w:t>Variabilní posuvné zavěšení mikrofonu s bowdenovým flexibilním ramínkem.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42" w:val="left"/>
        </w:tabs>
        <w:bidi w:val="0"/>
        <w:spacing w:before="0" w:after="40" w:line="259" w:lineRule="auto"/>
        <w:ind w:left="540" w:right="0" w:hanging="540"/>
        <w:jc w:val="both"/>
      </w:pPr>
      <w:r>
        <w:rPr>
          <w:rStyle w:val="CharStyle8"/>
        </w:rPr>
        <w:t>Kabel pro připojení a komunikaci na palubě, kroucený, zakončený vrtulníkovým konektorem U- 174/U.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42" w:val="left"/>
        </w:tabs>
        <w:bidi w:val="0"/>
        <w:spacing w:before="0" w:after="40" w:line="252" w:lineRule="auto"/>
        <w:ind w:left="0" w:right="0" w:firstLine="0"/>
        <w:jc w:val="both"/>
      </w:pPr>
      <w:r>
        <w:rPr>
          <w:rStyle w:val="CharStyle8"/>
        </w:rPr>
        <w:t>Komunikační systém s High Level elektretovým mikrofonem.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42" w:val="left"/>
        </w:tabs>
        <w:bidi w:val="0"/>
        <w:spacing w:before="0" w:after="40" w:line="252" w:lineRule="auto"/>
        <w:ind w:left="0" w:right="0" w:firstLine="0"/>
        <w:jc w:val="both"/>
      </w:pPr>
      <w:r>
        <w:rPr>
          <w:rStyle w:val="CharStyle8"/>
        </w:rPr>
        <w:t>Funkčnost a spolehlivost přilby v rozsahu teplot alespoň -20 až +70 stupňů Celsia.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42" w:val="left"/>
        </w:tabs>
        <w:bidi w:val="0"/>
        <w:spacing w:before="0" w:after="40" w:line="252" w:lineRule="auto"/>
        <w:ind w:left="0" w:right="0" w:firstLine="0"/>
        <w:jc w:val="both"/>
      </w:pPr>
      <w:r>
        <w:rPr>
          <w:rStyle w:val="CharStyle8"/>
        </w:rPr>
        <w:t>Požadované příslušenství k přilbě: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72" w:val="left"/>
        </w:tabs>
        <w:bidi w:val="0"/>
        <w:spacing w:before="0" w:after="40" w:line="252" w:lineRule="auto"/>
        <w:ind w:left="0" w:right="0" w:firstLine="540"/>
        <w:jc w:val="both"/>
      </w:pPr>
      <w:r>
        <w:rPr>
          <w:rStyle w:val="CharStyle8"/>
        </w:rPr>
        <w:t>přenosná brašna na transport,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72" w:val="left"/>
        </w:tabs>
        <w:bidi w:val="0"/>
        <w:spacing w:before="0" w:after="40" w:line="252" w:lineRule="auto"/>
        <w:ind w:left="0" w:right="0" w:firstLine="540"/>
        <w:jc w:val="both"/>
      </w:pPr>
      <w:r>
        <w:rPr>
          <w:rStyle w:val="CharStyle8"/>
        </w:rPr>
        <w:t>látkový ochranný obal přilby do přenosné brašny,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72" w:val="left"/>
        </w:tabs>
        <w:bidi w:val="0"/>
        <w:spacing w:before="0" w:after="40" w:line="252" w:lineRule="auto"/>
        <w:ind w:left="0" w:right="0" w:firstLine="540"/>
        <w:jc w:val="both"/>
      </w:pPr>
      <w:r>
        <w:rPr>
          <w:rStyle w:val="CharStyle8"/>
        </w:rPr>
        <w:t>návod k obsluze,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72" w:val="left"/>
        </w:tabs>
        <w:bidi w:val="0"/>
        <w:spacing w:before="0" w:after="40" w:line="252" w:lineRule="auto"/>
        <w:ind w:left="0" w:right="0" w:firstLine="540"/>
        <w:jc w:val="both"/>
      </w:pPr>
      <w:r>
        <w:rPr>
          <w:rStyle w:val="CharStyle8"/>
        </w:rPr>
        <w:t>sada originálních polstrovaných polštářů k individuálnímu nastavení velikosti uživatelem.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42" w:val="left"/>
        </w:tabs>
        <w:bidi w:val="0"/>
        <w:spacing w:before="0" w:after="40" w:line="252" w:lineRule="auto"/>
        <w:ind w:left="540" w:right="0" w:hanging="540"/>
        <w:jc w:val="both"/>
      </w:pPr>
      <w:r>
        <w:rPr>
          <w:rStyle w:val="CharStyle8"/>
        </w:rPr>
        <w:t xml:space="preserve">Kontaktní místo pro řešení reklamací, záručních oprav a servisu přileb v ČR: TMJ Aviation s.r.o., Bendlova 84/22,196 00, Praha 9, tel. 602358956, email </w:t>
      </w:r>
      <w:r>
        <w:fldChar w:fldCharType="begin"/>
      </w:r>
      <w:r>
        <w:rPr/>
        <w:instrText> HYPERLINK "mailto:info@tmj-aviation.cz" </w:instrText>
      </w:r>
      <w:r>
        <w:fldChar w:fldCharType="separate"/>
      </w:r>
      <w:r>
        <w:rPr>
          <w:rStyle w:val="CharStyle8"/>
          <w:lang w:val="en-US" w:eastAsia="en-US" w:bidi="en-US"/>
        </w:rPr>
        <w:t>info@tmj-aviation.cz</w:t>
      </w:r>
      <w:r>
        <w:fldChar w:fldCharType="end"/>
      </w:r>
      <w:r>
        <w:rPr>
          <w:rStyle w:val="CharStyle8"/>
          <w:lang w:val="en-US" w:eastAsia="en-US" w:bidi="en-US"/>
        </w:rPr>
        <w:t>.</w:t>
      </w:r>
    </w:p>
    <w:sectPr>
      <w:footnotePr>
        <w:pos w:val="pageBottom"/>
        <w:numFmt w:val="decimal"/>
        <w:numRestart w:val="continuous"/>
      </w:footnotePr>
      <w:pgSz w:w="11900" w:h="16840"/>
      <w:pgMar w:top="1252" w:right="1459" w:bottom="1252" w:left="1551" w:header="824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1031875</wp:posOffset>
              </wp:positionH>
              <wp:positionV relativeFrom="page">
                <wp:posOffset>9973310</wp:posOffset>
              </wp:positionV>
              <wp:extent cx="2246630" cy="1187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4663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Veřejná zakázka 21_2023: Letecké přilby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5pt;margin-top:785.30000000000007pt;width:176.90000000000001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 21_2023: Letecké přilby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7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5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">
    <w:name w:val="Titulek tabulky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Jiné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0">
    <w:name w:val="Základní text (2)_"/>
    <w:basedOn w:val="DefaultParagraphFont"/>
    <w:link w:val="Style3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6">
    <w:name w:val="Základní text (4)_"/>
    <w:basedOn w:val="DefaultParagraphFont"/>
    <w:link w:val="Style5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61">
    <w:name w:val="Nadpis #2_"/>
    <w:basedOn w:val="DefaultParagraphFont"/>
    <w:link w:val="Style6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68">
    <w:name w:val="Nadpis #1_"/>
    <w:basedOn w:val="DefaultParagraphFont"/>
    <w:link w:val="Style67"/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CharStyle74">
    <w:name w:val="Základní text (3)_"/>
    <w:basedOn w:val="DefaultParagraphFont"/>
    <w:link w:val="Style7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Style2">
    <w:name w:val="Základní text (5)"/>
    <w:basedOn w:val="Normal"/>
    <w:link w:val="CharStyle3"/>
    <w:pPr>
      <w:widowControl w:val="0"/>
      <w:shd w:val="clear" w:color="auto" w:fill="auto"/>
      <w:spacing w:after="240" w:line="290" w:lineRule="auto"/>
      <w:ind w:right="780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0">
    <w:name w:val="Titulek tabulky"/>
    <w:basedOn w:val="Normal"/>
    <w:link w:val="CharStyle11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2">
    <w:name w:val="Jiné"/>
    <w:basedOn w:val="Normal"/>
    <w:link w:val="CharStyle13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9">
    <w:name w:val="Základní text (2)"/>
    <w:basedOn w:val="Normal"/>
    <w:link w:val="CharStyle40"/>
    <w:pPr>
      <w:widowControl w:val="0"/>
      <w:shd w:val="clear" w:color="auto" w:fill="auto"/>
      <w:spacing w:after="40" w:line="175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55">
    <w:name w:val="Základní text (4)"/>
    <w:basedOn w:val="Normal"/>
    <w:link w:val="CharStyle56"/>
    <w:pPr>
      <w:widowControl w:val="0"/>
      <w:shd w:val="clear" w:color="auto" w:fill="auto"/>
      <w:spacing w:line="211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Style60">
    <w:name w:val="Nadpis #2"/>
    <w:basedOn w:val="Normal"/>
    <w:link w:val="CharStyle61"/>
    <w:pPr>
      <w:widowControl w:val="0"/>
      <w:shd w:val="clear" w:color="auto" w:fill="auto"/>
      <w:spacing w:after="150" w:line="216" w:lineRule="auto"/>
      <w:ind w:left="660"/>
      <w:outlineLvl w:val="1"/>
    </w:pPr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Style67">
    <w:name w:val="Nadpis #1"/>
    <w:basedOn w:val="Normal"/>
    <w:link w:val="CharStyle68"/>
    <w:pPr>
      <w:widowControl w:val="0"/>
      <w:shd w:val="clear" w:color="auto" w:fill="auto"/>
      <w:spacing w:after="11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paragraph" w:customStyle="1" w:styleId="Style73">
    <w:name w:val="Základní text (3)"/>
    <w:basedOn w:val="Normal"/>
    <w:link w:val="CharStyle74"/>
    <w:pPr>
      <w:widowControl w:val="0"/>
      <w:shd w:val="clear" w:color="auto" w:fill="auto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