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C22D" w14:textId="057AB59B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0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D74F79">
            <w:rPr>
              <w:sz w:val="14"/>
              <w:szCs w:val="14"/>
            </w:rPr>
            <w:t>SMK/160393/2022</w:t>
          </w:r>
        </w:sdtContent>
      </w:sdt>
      <w:bookmarkEnd w:id="0"/>
    </w:p>
    <w:p w14:paraId="2F971004" w14:textId="548595DC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747BBD">
            <w:rPr>
              <w:sz w:val="14"/>
              <w:szCs w:val="14"/>
            </w:rPr>
            <w:t>SML/</w:t>
          </w:r>
          <w:r w:rsidR="0004624B">
            <w:rPr>
              <w:sz w:val="14"/>
              <w:szCs w:val="14"/>
            </w:rPr>
            <w:t>0180</w:t>
          </w:r>
          <w:r w:rsidR="00A27BBB">
            <w:rPr>
              <w:sz w:val="14"/>
              <w:szCs w:val="14"/>
            </w:rPr>
            <w:t>/2023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19DDE0BD" w14:textId="77777777" w:rsidR="00012F2B" w:rsidRDefault="00012F2B" w:rsidP="00012F2B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70037C89" w14:textId="77777777" w:rsidR="00012F2B" w:rsidRDefault="00012F2B" w:rsidP="00012F2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50CD97B8" w14:textId="77777777" w:rsidR="00012F2B" w:rsidRDefault="00012F2B" w:rsidP="00012F2B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7A4242BC" w14:textId="0BE2EA08" w:rsidR="00012F2B" w:rsidRDefault="00A27BBB" w:rsidP="00012F2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na základě pověření ze dne: 12</w:t>
      </w:r>
      <w:r w:rsidR="00012F2B">
        <w:rPr>
          <w:rFonts w:cs="Arial"/>
          <w:sz w:val="22"/>
        </w:rPr>
        <w:t>.12.202</w:t>
      </w:r>
      <w:r>
        <w:rPr>
          <w:rFonts w:cs="Arial"/>
          <w:sz w:val="22"/>
        </w:rPr>
        <w:t>2</w:t>
      </w:r>
      <w:r w:rsidR="00012F2B">
        <w:rPr>
          <w:rFonts w:cs="Arial"/>
          <w:sz w:val="22"/>
        </w:rPr>
        <w:t xml:space="preserve">  </w:t>
      </w:r>
    </w:p>
    <w:p w14:paraId="5B071EC8" w14:textId="77777777" w:rsidR="00012F2B" w:rsidRDefault="00012F2B" w:rsidP="00012F2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3B34BB7E" w14:textId="77777777" w:rsidR="00012F2B" w:rsidRDefault="00012F2B" w:rsidP="00012F2B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7109ACA2" w14:textId="77777777" w:rsidR="00012F2B" w:rsidRDefault="00012F2B" w:rsidP="00012F2B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1B30B738" w14:textId="77777777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36F19644" w14:textId="77777777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D1E8E02" w14:textId="77777777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483AE4BA" w14:textId="77777777" w:rsidR="00012F2B" w:rsidRDefault="00012F2B" w:rsidP="00012F2B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(dále jen „poskytovatel“)</w:t>
      </w:r>
    </w:p>
    <w:p w14:paraId="1665931B" w14:textId="77777777" w:rsidR="00012F2B" w:rsidRDefault="00012F2B" w:rsidP="00012F2B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46CDC3CD" w:rsidR="00EF7BFF" w:rsidRDefault="00EF7BFF" w:rsidP="00592D79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747BBD">
        <w:rPr>
          <w:rFonts w:cs="Arial"/>
          <w:b/>
          <w:color w:val="000000" w:themeColor="text1"/>
          <w:sz w:val="22"/>
        </w:rPr>
        <w:t>Slezská diakonie</w:t>
      </w:r>
    </w:p>
    <w:p w14:paraId="403BF5C0" w14:textId="344E2491" w:rsidR="00747BBD" w:rsidRDefault="00FF2FC9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747BBD">
        <w:rPr>
          <w:sz w:val="22"/>
        </w:rPr>
        <w:t>v R</w:t>
      </w:r>
      <w:r w:rsidR="00747BBD" w:rsidRPr="00CF632B">
        <w:rPr>
          <w:sz w:val="22"/>
        </w:rPr>
        <w:t xml:space="preserve">ejstříku evidovaných </w:t>
      </w:r>
      <w:r w:rsidR="00747BBD">
        <w:rPr>
          <w:sz w:val="22"/>
        </w:rPr>
        <w:t xml:space="preserve">právnických osob </w:t>
      </w:r>
      <w:r w:rsidR="00747BBD" w:rsidRPr="00CF632B">
        <w:rPr>
          <w:sz w:val="22"/>
        </w:rPr>
        <w:t>pod číslem evidence: 17-022/1996 ze dne 05.09.1996 veden</w:t>
      </w:r>
      <w:r w:rsidR="007F5D29">
        <w:rPr>
          <w:sz w:val="22"/>
        </w:rPr>
        <w:t>é</w:t>
      </w:r>
      <w:r w:rsidR="00747BBD" w:rsidRPr="00CF632B">
        <w:rPr>
          <w:sz w:val="22"/>
        </w:rPr>
        <w:t xml:space="preserve">m </w:t>
      </w:r>
      <w:r w:rsidR="007F5D29">
        <w:rPr>
          <w:sz w:val="22"/>
        </w:rPr>
        <w:br/>
        <w:t xml:space="preserve">u </w:t>
      </w:r>
      <w:r w:rsidR="00747BBD" w:rsidRPr="00CF632B">
        <w:rPr>
          <w:sz w:val="22"/>
        </w:rPr>
        <w:t>Ministerstva kultury ČR</w:t>
      </w:r>
      <w:r w:rsidR="00747BBD" w:rsidRPr="00A353B1">
        <w:rPr>
          <w:rFonts w:cs="Arial"/>
          <w:color w:val="000000" w:themeColor="text1"/>
          <w:sz w:val="22"/>
        </w:rPr>
        <w:t xml:space="preserve"> </w:t>
      </w:r>
    </w:p>
    <w:p w14:paraId="2B03D3C9" w14:textId="4FA0F55D" w:rsidR="00DD006F" w:rsidRDefault="00747BBD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</w:r>
      <w:r w:rsidR="00C80B14">
        <w:rPr>
          <w:rFonts w:cs="Arial"/>
          <w:color w:val="000000" w:themeColor="text1"/>
          <w:sz w:val="22"/>
        </w:rPr>
        <w:t>Mgr. Zuzanou Filipkovou,</w:t>
      </w:r>
      <w:r w:rsidR="00287A6A">
        <w:rPr>
          <w:rFonts w:cs="Arial"/>
          <w:color w:val="000000" w:themeColor="text1"/>
          <w:sz w:val="22"/>
        </w:rPr>
        <w:t xml:space="preserve"> Ph.D., ředitelkou Slezské diakonie</w:t>
      </w:r>
      <w:r>
        <w:rPr>
          <w:sz w:val="22"/>
        </w:rPr>
        <w:t xml:space="preserve"> </w:t>
      </w:r>
    </w:p>
    <w:p w14:paraId="4FD44DB6" w14:textId="18D3C769" w:rsidR="00DD006F" w:rsidRDefault="00DD006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287A6A">
        <w:rPr>
          <w:sz w:val="22"/>
        </w:rPr>
        <w:t>Jmenování</w:t>
      </w:r>
    </w:p>
    <w:p w14:paraId="4B8B12CA" w14:textId="1506944E" w:rsidR="00747BBD" w:rsidRPr="00B2068C" w:rsidRDefault="00747BB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r w:rsidR="00287A6A">
        <w:rPr>
          <w:sz w:val="22"/>
        </w:rPr>
        <w:t>30.11.2010</w:t>
      </w:r>
    </w:p>
    <w:p w14:paraId="6B74A468" w14:textId="6C98E748" w:rsidR="00EF7BFF" w:rsidRPr="00185A44" w:rsidRDefault="00DD006F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747BBD" w:rsidRPr="00CF632B">
        <w:rPr>
          <w:sz w:val="22"/>
        </w:rPr>
        <w:t>Na Nivách 259/7, 737 01 Český Těšín</w:t>
      </w:r>
    </w:p>
    <w:p w14:paraId="65AF4ECD" w14:textId="2274D9E9" w:rsidR="00EF7BFF" w:rsidRPr="00185A44" w:rsidRDefault="00592D79" w:rsidP="00EF7BF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747BBD" w:rsidRPr="00CF632B">
        <w:rPr>
          <w:sz w:val="22"/>
        </w:rPr>
        <w:t>65468562</w:t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</w:p>
    <w:p w14:paraId="68DB1667" w14:textId="66CC1549" w:rsidR="00747BBD" w:rsidRPr="00565F02" w:rsidRDefault="00EF7BFF" w:rsidP="00565F02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747BBD" w:rsidRPr="00CF632B">
        <w:rPr>
          <w:sz w:val="22"/>
        </w:rPr>
        <w:t>CZ65468562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565F02" w:rsidRPr="00565F02">
        <w:rPr>
          <w:sz w:val="22"/>
        </w:rPr>
        <w:t>23035-791/0100</w:t>
      </w:r>
      <w:r w:rsidR="00747BBD" w:rsidRPr="00565F02">
        <w:rPr>
          <w:sz w:val="22"/>
        </w:rPr>
        <w:br/>
      </w:r>
      <w:r w:rsidR="00FF2FC9" w:rsidRPr="00565F02">
        <w:rPr>
          <w:rFonts w:cs="Arial"/>
          <w:sz w:val="22"/>
        </w:rPr>
        <w:t>bankovní spojení: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565F02" w:rsidRPr="00565F02">
        <w:rPr>
          <w:rFonts w:cs="Arial"/>
          <w:sz w:val="22"/>
        </w:rPr>
        <w:t>Komerční banka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59FE1C18" w:rsidR="002042D1" w:rsidRPr="005644EE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7C1417C7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D74F79">
        <w:rPr>
          <w:rFonts w:eastAsia="Times New Roman" w:cs="Arial"/>
          <w:b/>
          <w:sz w:val="22"/>
          <w:lang w:eastAsia="cs-CZ" w:bidi="ar-SA"/>
        </w:rPr>
        <w:t>70</w:t>
      </w:r>
      <w:r w:rsidR="007C48D0">
        <w:rPr>
          <w:rFonts w:eastAsia="Times New Roman" w:cs="Arial"/>
          <w:b/>
          <w:sz w:val="22"/>
          <w:lang w:eastAsia="cs-CZ" w:bidi="ar-SA"/>
        </w:rPr>
        <w:t>.</w:t>
      </w:r>
      <w:r w:rsidR="00D74F79">
        <w:rPr>
          <w:rFonts w:eastAsia="Times New Roman" w:cs="Arial"/>
          <w:b/>
          <w:sz w:val="22"/>
          <w:lang w:eastAsia="cs-CZ" w:bidi="ar-SA"/>
        </w:rPr>
        <w:t>000</w:t>
      </w:r>
      <w:r w:rsidR="007C48D0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156BC9">
        <w:rPr>
          <w:rFonts w:eastAsia="Times New Roman" w:cs="Arial"/>
          <w:sz w:val="22"/>
          <w:lang w:eastAsia="cs-CZ" w:bidi="ar-SA"/>
        </w:rPr>
        <w:t xml:space="preserve">ve výši </w:t>
      </w:r>
      <w:r w:rsidR="00D74F79">
        <w:rPr>
          <w:rFonts w:eastAsia="Times New Roman" w:cs="Arial"/>
          <w:b/>
          <w:sz w:val="22"/>
          <w:lang w:eastAsia="cs-CZ" w:bidi="ar-SA"/>
        </w:rPr>
        <w:t>70</w:t>
      </w:r>
      <w:r w:rsidR="00B2330B" w:rsidRPr="00B2330B">
        <w:rPr>
          <w:rFonts w:eastAsia="Times New Roman" w:cs="Arial"/>
          <w:b/>
          <w:sz w:val="22"/>
          <w:lang w:eastAsia="cs-CZ" w:bidi="ar-SA"/>
        </w:rPr>
        <w:t>.</w:t>
      </w:r>
      <w:r w:rsidR="00D74F79">
        <w:rPr>
          <w:rFonts w:eastAsia="Times New Roman" w:cs="Arial"/>
          <w:b/>
          <w:sz w:val="22"/>
          <w:lang w:eastAsia="cs-CZ" w:bidi="ar-SA"/>
        </w:rPr>
        <w:t xml:space="preserve">000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4ABA89E4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D74F79">
        <w:rPr>
          <w:rFonts w:cs="Arial"/>
          <w:b/>
          <w:sz w:val="22"/>
        </w:rPr>
        <w:t>HOSANA Karviná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A27BBB">
        <w:rPr>
          <w:rFonts w:cs="Arial"/>
          <w:sz w:val="22"/>
        </w:rPr>
        <w:t>: 12</w:t>
      </w:r>
      <w:r w:rsidR="004761C3" w:rsidRPr="004761C3">
        <w:rPr>
          <w:rFonts w:cs="Arial"/>
          <w:sz w:val="22"/>
        </w:rPr>
        <w:t>.1</w:t>
      </w:r>
      <w:r w:rsidR="00E0260B">
        <w:rPr>
          <w:rFonts w:cs="Arial"/>
          <w:sz w:val="22"/>
        </w:rPr>
        <w:t>2</w:t>
      </w:r>
      <w:r w:rsidR="004761C3" w:rsidRPr="004761C3">
        <w:rPr>
          <w:rFonts w:cs="Arial"/>
          <w:sz w:val="22"/>
        </w:rPr>
        <w:t>.202</w:t>
      </w:r>
      <w:r w:rsidR="00A27BBB">
        <w:rPr>
          <w:rFonts w:cs="Arial"/>
          <w:sz w:val="22"/>
        </w:rPr>
        <w:t>2</w:t>
      </w:r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F71B13">
        <w:rPr>
          <w:rFonts w:cs="Arial"/>
          <w:sz w:val="22"/>
        </w:rPr>
        <w:t>1603</w:t>
      </w:r>
      <w:r w:rsidR="00D74F79">
        <w:rPr>
          <w:rFonts w:cs="Arial"/>
          <w:sz w:val="22"/>
        </w:rPr>
        <w:t>93</w:t>
      </w:r>
      <w:r w:rsidR="00A27BBB">
        <w:rPr>
          <w:rFonts w:cs="Arial"/>
          <w:sz w:val="22"/>
        </w:rPr>
        <w:t>/2022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74B0A6E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EA0EDF">
        <w:rPr>
          <w:rFonts w:cs="Arial"/>
          <w:sz w:val="22"/>
        </w:rPr>
        <w:t>,</w:t>
      </w:r>
    </w:p>
    <w:p w14:paraId="78A7453F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F4E259E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33CE5EB4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858EE36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1386E237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5639D628" w14:textId="137E6CC4" w:rsidR="00F17955" w:rsidRDefault="00F17955" w:rsidP="00F17955">
      <w:pPr>
        <w:pStyle w:val="Zkladntext"/>
        <w:rPr>
          <w:rFonts w:cs="Arial"/>
          <w:sz w:val="22"/>
        </w:rPr>
      </w:pPr>
    </w:p>
    <w:p w14:paraId="3312BE77" w14:textId="7A58510D" w:rsidR="00C25A2F" w:rsidRDefault="00C25A2F" w:rsidP="00F17955">
      <w:pPr>
        <w:pStyle w:val="Zkladntext"/>
        <w:rPr>
          <w:rFonts w:cs="Arial"/>
          <w:b/>
          <w:bCs/>
          <w:color w:val="000000"/>
        </w:rPr>
      </w:pPr>
    </w:p>
    <w:p w14:paraId="292A5164" w14:textId="77777777" w:rsidR="00DD006F" w:rsidRDefault="00DD006F" w:rsidP="00F17955">
      <w:pPr>
        <w:pStyle w:val="Zkladntext"/>
        <w:rPr>
          <w:rFonts w:cs="Arial"/>
          <w:b/>
          <w:bCs/>
          <w:color w:val="000000"/>
        </w:rPr>
      </w:pPr>
    </w:p>
    <w:p w14:paraId="6581F21D" w14:textId="05DAD2C6" w:rsidR="002D43D5" w:rsidRPr="002D43D5" w:rsidRDefault="002D43D5" w:rsidP="00F17955">
      <w:pPr>
        <w:pStyle w:val="Zkladntext"/>
      </w:pPr>
    </w:p>
    <w:p w14:paraId="2D1B0831" w14:textId="376AD2BB" w:rsidR="002D43D5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lastRenderedPageBreak/>
        <w:t>rozpoč</w:t>
      </w:r>
      <w:r w:rsidR="00EA0EDF">
        <w:rPr>
          <w:rFonts w:cs="Arial"/>
          <w:bCs/>
          <w:sz w:val="22"/>
        </w:rPr>
        <w:t>e</w:t>
      </w:r>
      <w:r w:rsidRPr="00A353B1">
        <w:rPr>
          <w:rFonts w:cs="Arial"/>
          <w:bCs/>
          <w:sz w:val="22"/>
        </w:rPr>
        <w:t>t projektu:</w:t>
      </w:r>
    </w:p>
    <w:tbl>
      <w:tblPr>
        <w:tblStyle w:val="TableGrid"/>
        <w:tblW w:w="8988" w:type="dxa"/>
        <w:tblInd w:w="139" w:type="dxa"/>
        <w:tblCellMar>
          <w:top w:w="23" w:type="dxa"/>
          <w:left w:w="62" w:type="dxa"/>
          <w:right w:w="86" w:type="dxa"/>
        </w:tblCellMar>
        <w:tblLook w:val="04A0" w:firstRow="1" w:lastRow="0" w:firstColumn="1" w:lastColumn="0" w:noHBand="0" w:noVBand="1"/>
      </w:tblPr>
      <w:tblGrid>
        <w:gridCol w:w="4197"/>
        <w:gridCol w:w="1587"/>
        <w:gridCol w:w="735"/>
        <w:gridCol w:w="437"/>
        <w:gridCol w:w="2032"/>
      </w:tblGrid>
      <w:tr w:rsidR="00D74F79" w14:paraId="2B1F4E22" w14:textId="77777777" w:rsidTr="00B95EF6">
        <w:trPr>
          <w:trHeight w:val="317"/>
        </w:trPr>
        <w:tc>
          <w:tcPr>
            <w:tcW w:w="6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CEA2BC" w14:textId="77777777" w:rsidR="00D74F79" w:rsidRPr="000028E5" w:rsidRDefault="00D74F79" w:rsidP="0017505B">
            <w:pPr>
              <w:ind w:right="313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ROZPOČET PROJEKTU 2023</w:t>
            </w:r>
          </w:p>
        </w:tc>
        <w:tc>
          <w:tcPr>
            <w:tcW w:w="20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45CEE7" w14:textId="77777777" w:rsidR="00D74F79" w:rsidRPr="000028E5" w:rsidRDefault="00D74F79" w:rsidP="0017505B">
            <w:pPr>
              <w:rPr>
                <w:szCs w:val="20"/>
              </w:rPr>
            </w:pPr>
          </w:p>
        </w:tc>
      </w:tr>
      <w:tr w:rsidR="00D74F79" w14:paraId="61ECE18D" w14:textId="77777777" w:rsidTr="00B95EF6">
        <w:trPr>
          <w:trHeight w:val="917"/>
        </w:trPr>
        <w:tc>
          <w:tcPr>
            <w:tcW w:w="5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053C80" w14:textId="77777777" w:rsidR="00D74F79" w:rsidRPr="000028E5" w:rsidRDefault="00D74F79" w:rsidP="0017505B">
            <w:pPr>
              <w:ind w:right="395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HOSANA Karviná</w:t>
            </w:r>
          </w:p>
        </w:tc>
        <w:tc>
          <w:tcPr>
            <w:tcW w:w="32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EEE5A6" w14:textId="77777777" w:rsidR="00D74F79" w:rsidRPr="000028E5" w:rsidRDefault="00D74F79" w:rsidP="0017505B">
            <w:pPr>
              <w:rPr>
                <w:szCs w:val="20"/>
              </w:rPr>
            </w:pPr>
          </w:p>
        </w:tc>
      </w:tr>
      <w:tr w:rsidR="00D74F79" w:rsidRPr="00AB3F81" w14:paraId="07655E3D" w14:textId="77777777" w:rsidTr="00D74F79">
        <w:trPr>
          <w:trHeight w:val="1067"/>
        </w:trPr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5CCAA" w14:textId="77777777" w:rsidR="00D74F79" w:rsidRPr="000028E5" w:rsidRDefault="00D74F79" w:rsidP="0017505B">
            <w:pPr>
              <w:ind w:left="11"/>
              <w:rPr>
                <w:szCs w:val="20"/>
              </w:rPr>
            </w:pPr>
            <w:r w:rsidRPr="000028E5">
              <w:rPr>
                <w:szCs w:val="20"/>
              </w:rPr>
              <w:t>I. Předpokládané náklady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98BEC" w14:textId="77777777" w:rsidR="00D74F79" w:rsidRPr="000028E5" w:rsidRDefault="00D74F79" w:rsidP="0017505B">
            <w:pPr>
              <w:jc w:val="center"/>
              <w:rPr>
                <w:szCs w:val="20"/>
              </w:rPr>
            </w:pPr>
            <w:r w:rsidRPr="000028E5">
              <w:rPr>
                <w:szCs w:val="20"/>
              </w:rPr>
              <w:t>celkový rozpočet projektu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A15F" w14:textId="77777777" w:rsidR="00D74F79" w:rsidRPr="000028E5" w:rsidRDefault="00D74F79" w:rsidP="0017505B">
            <w:pPr>
              <w:ind w:left="10"/>
              <w:jc w:val="center"/>
              <w:rPr>
                <w:szCs w:val="20"/>
              </w:rPr>
            </w:pPr>
            <w:r w:rsidRPr="000028E5">
              <w:rPr>
                <w:szCs w:val="20"/>
              </w:rPr>
              <w:t>požadovaná výše</w:t>
            </w:r>
          </w:p>
          <w:p w14:paraId="04107BAD" w14:textId="77777777" w:rsidR="00D74F79" w:rsidRPr="000028E5" w:rsidRDefault="00D74F79" w:rsidP="0017505B">
            <w:pPr>
              <w:ind w:left="16" w:right="6"/>
              <w:jc w:val="center"/>
              <w:rPr>
                <w:szCs w:val="20"/>
              </w:rPr>
            </w:pPr>
            <w:r w:rsidRPr="000028E5">
              <w:rPr>
                <w:szCs w:val="20"/>
              </w:rPr>
              <w:t>dotace z rozpočtu města</w:t>
            </w:r>
          </w:p>
        </w:tc>
      </w:tr>
      <w:tr w:rsidR="00D74F79" w:rsidRPr="00AB3F81" w14:paraId="6FDBE0F6" w14:textId="77777777" w:rsidTr="00D74F79">
        <w:trPr>
          <w:trHeight w:val="263"/>
        </w:trPr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CFB16" w14:textId="77777777" w:rsidR="00D74F79" w:rsidRPr="000028E5" w:rsidRDefault="00D74F79" w:rsidP="0017505B">
            <w:pPr>
              <w:ind w:left="10"/>
              <w:rPr>
                <w:szCs w:val="20"/>
              </w:rPr>
            </w:pPr>
            <w:r w:rsidRPr="000028E5">
              <w:rPr>
                <w:szCs w:val="20"/>
              </w:rPr>
              <w:t>Osobní náklady celkem':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96C48" w14:textId="77777777" w:rsidR="00D74F79" w:rsidRPr="000028E5" w:rsidRDefault="00D74F79" w:rsidP="0017505B">
            <w:pPr>
              <w:ind w:left="13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6 269 000 Kč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F892" w14:textId="77777777" w:rsidR="00D74F79" w:rsidRPr="000028E5" w:rsidRDefault="00D74F79" w:rsidP="0017505B">
            <w:pPr>
              <w:ind w:left="19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35 000 Kč</w:t>
            </w:r>
          </w:p>
        </w:tc>
      </w:tr>
      <w:tr w:rsidR="00D74F79" w:rsidRPr="00AB3F81" w14:paraId="18F4E2DB" w14:textId="77777777" w:rsidTr="00D74F79">
        <w:trPr>
          <w:trHeight w:val="269"/>
        </w:trPr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23B2C" w14:textId="77777777" w:rsidR="00D74F79" w:rsidRPr="000028E5" w:rsidRDefault="00D74F79" w:rsidP="0017505B">
            <w:pPr>
              <w:ind w:left="14"/>
              <w:rPr>
                <w:szCs w:val="20"/>
              </w:rPr>
            </w:pPr>
            <w:r w:rsidRPr="000028E5">
              <w:rPr>
                <w:szCs w:val="20"/>
              </w:rPr>
              <w:t>Pracovní smlouvy, DPČ, DPP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4DFED" w14:textId="77777777" w:rsidR="00D74F79" w:rsidRPr="000028E5" w:rsidRDefault="00D74F79" w:rsidP="0017505B">
            <w:pPr>
              <w:ind w:left="374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6 107 000 Kč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F51DF" w14:textId="77777777" w:rsidR="00D74F79" w:rsidRPr="000028E5" w:rsidRDefault="00D74F79" w:rsidP="0017505B">
            <w:pPr>
              <w:ind w:left="34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10 000 Kč</w:t>
            </w:r>
          </w:p>
        </w:tc>
      </w:tr>
      <w:tr w:rsidR="00D74F79" w:rsidRPr="00AB3F81" w14:paraId="7E1ABB32" w14:textId="77777777" w:rsidTr="00D74F79">
        <w:trPr>
          <w:trHeight w:val="477"/>
        </w:trPr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FB55E" w14:textId="77777777" w:rsidR="00D74F79" w:rsidRPr="000028E5" w:rsidRDefault="00D74F79" w:rsidP="0017505B">
            <w:pPr>
              <w:ind w:left="5"/>
              <w:rPr>
                <w:szCs w:val="20"/>
              </w:rPr>
            </w:pPr>
            <w:r w:rsidRPr="000028E5">
              <w:rPr>
                <w:szCs w:val="20"/>
              </w:rPr>
              <w:t>Jiné osobní náklady-příspěvek na stravenky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8767" w14:textId="77777777" w:rsidR="00D74F79" w:rsidRPr="000028E5" w:rsidRDefault="00D74F79" w:rsidP="0017505B">
            <w:pPr>
              <w:ind w:left="32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162 000 Kč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0535C" w14:textId="77777777" w:rsidR="00D74F79" w:rsidRPr="000028E5" w:rsidRDefault="00D74F79" w:rsidP="0017505B">
            <w:pPr>
              <w:ind w:left="19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25 000 Kč</w:t>
            </w:r>
          </w:p>
        </w:tc>
      </w:tr>
      <w:tr w:rsidR="00D74F79" w:rsidRPr="00AB3F81" w14:paraId="4771B51F" w14:textId="77777777" w:rsidTr="00D74F79">
        <w:trPr>
          <w:trHeight w:val="269"/>
        </w:trPr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C7801" w14:textId="77777777" w:rsidR="00D74F79" w:rsidRPr="000028E5" w:rsidRDefault="00D74F79" w:rsidP="0017505B">
            <w:pPr>
              <w:rPr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4AE88" w14:textId="77777777" w:rsidR="00D74F79" w:rsidRPr="000028E5" w:rsidRDefault="00D74F79" w:rsidP="0017505B">
            <w:pPr>
              <w:jc w:val="right"/>
              <w:rPr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6E05" w14:textId="77777777" w:rsidR="00D74F79" w:rsidRPr="000028E5" w:rsidRDefault="00D74F79" w:rsidP="0017505B">
            <w:pPr>
              <w:jc w:val="right"/>
              <w:rPr>
                <w:szCs w:val="20"/>
              </w:rPr>
            </w:pPr>
          </w:p>
        </w:tc>
      </w:tr>
      <w:tr w:rsidR="00D74F79" w:rsidRPr="00AB3F81" w14:paraId="234DE34C" w14:textId="77777777" w:rsidTr="00D74F79">
        <w:trPr>
          <w:trHeight w:val="355"/>
        </w:trPr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E311D" w14:textId="77777777" w:rsidR="00D74F79" w:rsidRPr="000028E5" w:rsidRDefault="00D74F79" w:rsidP="0017505B">
            <w:pPr>
              <w:ind w:left="10"/>
              <w:rPr>
                <w:szCs w:val="20"/>
              </w:rPr>
            </w:pPr>
            <w:r w:rsidRPr="000028E5">
              <w:rPr>
                <w:szCs w:val="20"/>
              </w:rPr>
              <w:t>Provozní náklady celkem*: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F10FC" w14:textId="77777777" w:rsidR="00D74F79" w:rsidRPr="000028E5" w:rsidRDefault="00D74F79" w:rsidP="0017505B">
            <w:pPr>
              <w:ind w:left="13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1 708 000 Kč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B594F" w14:textId="77777777" w:rsidR="00D74F79" w:rsidRPr="000028E5" w:rsidRDefault="00D74F79" w:rsidP="0017505B">
            <w:pPr>
              <w:ind w:left="14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37 500 Kč</w:t>
            </w:r>
          </w:p>
        </w:tc>
      </w:tr>
      <w:tr w:rsidR="00D74F79" w:rsidRPr="00AB3F81" w14:paraId="6860E2BB" w14:textId="77777777" w:rsidTr="00D74F79">
        <w:trPr>
          <w:trHeight w:val="2991"/>
        </w:trPr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5ABE7" w14:textId="77777777" w:rsidR="00D74F79" w:rsidRPr="000028E5" w:rsidRDefault="00D74F79" w:rsidP="0017505B">
            <w:pPr>
              <w:ind w:firstLine="14"/>
              <w:rPr>
                <w:szCs w:val="20"/>
              </w:rPr>
            </w:pPr>
            <w:r w:rsidRPr="000028E5">
              <w:rPr>
                <w:szCs w:val="20"/>
              </w:rPr>
              <w:t>Materiálové náklady (kancelářské potřeby, ochranné, učební a kompenz. Pomůcky, čisticí a hygienické prostředky, drobný inventář a nářadí, výpočetní technika a tonery, materiál na běžné opravy a údržba, ostatní materiál, potraviny ostatní, dlouhodobý majetek do 40 tis, PHM, autodoprava, energie, služby (opravy, údržba a revize, vzdělávání, telefonní poplatky a spoje, poštovné, supervize, propagace, odvoz a skladování odpadu, ostatní služby, cestovné a jízdné, odpisy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0C032" w14:textId="77777777" w:rsidR="00D74F79" w:rsidRPr="000028E5" w:rsidRDefault="00D74F79" w:rsidP="0017505B">
            <w:pPr>
              <w:ind w:left="23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1 708 000 Kč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9FAA2" w14:textId="77777777" w:rsidR="00D74F79" w:rsidRPr="000028E5" w:rsidRDefault="00D74F79" w:rsidP="0017505B">
            <w:pPr>
              <w:ind w:left="24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37 500 Kč</w:t>
            </w:r>
          </w:p>
        </w:tc>
      </w:tr>
      <w:tr w:rsidR="00D74F79" w:rsidRPr="00AB3F81" w14:paraId="1BEC769C" w14:textId="77777777" w:rsidTr="00D74F79">
        <w:trPr>
          <w:trHeight w:val="350"/>
        </w:trPr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6FD84" w14:textId="77777777" w:rsidR="00D74F79" w:rsidRPr="000028E5" w:rsidRDefault="00D74F79" w:rsidP="0017505B">
            <w:pPr>
              <w:ind w:left="10"/>
              <w:rPr>
                <w:szCs w:val="20"/>
              </w:rPr>
            </w:pPr>
            <w:r w:rsidRPr="000028E5">
              <w:rPr>
                <w:szCs w:val="20"/>
              </w:rPr>
              <w:t>Ostatní náklady celkem*: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8AC23" w14:textId="77777777" w:rsidR="00D74F79" w:rsidRPr="000028E5" w:rsidRDefault="00D74F79" w:rsidP="0017505B">
            <w:pPr>
              <w:ind w:left="18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1 215 000 Kč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085DE" w14:textId="77777777" w:rsidR="00D74F79" w:rsidRPr="000028E5" w:rsidRDefault="00D74F79" w:rsidP="0017505B">
            <w:pPr>
              <w:ind w:left="14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7 500 Kč</w:t>
            </w:r>
          </w:p>
        </w:tc>
      </w:tr>
      <w:tr w:rsidR="00D74F79" w:rsidRPr="00AB3F81" w14:paraId="69068ACD" w14:textId="77777777" w:rsidTr="00D74F79">
        <w:trPr>
          <w:trHeight w:val="1164"/>
        </w:trPr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EF3CB" w14:textId="77777777" w:rsidR="00D74F79" w:rsidRPr="000028E5" w:rsidRDefault="00D74F79" w:rsidP="0017505B">
            <w:pPr>
              <w:ind w:left="10" w:right="461"/>
              <w:rPr>
                <w:szCs w:val="20"/>
              </w:rPr>
            </w:pPr>
            <w:r w:rsidRPr="000028E5">
              <w:rPr>
                <w:szCs w:val="20"/>
              </w:rPr>
              <w:t>Ostatní náklady související s poskytováním základních činností sociální služby, organizační správní náklady, zák. poj. Org., poj. Budovy, poplatky , apod.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BAAA1" w14:textId="77777777" w:rsidR="00D74F79" w:rsidRPr="000028E5" w:rsidRDefault="00D74F79" w:rsidP="0017505B">
            <w:pPr>
              <w:ind w:left="32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1 215 000 Kč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DD44F" w14:textId="77777777" w:rsidR="00D74F79" w:rsidRPr="000028E5" w:rsidRDefault="00D74F79" w:rsidP="0017505B">
            <w:pPr>
              <w:ind w:left="19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7 500 Kč</w:t>
            </w:r>
          </w:p>
        </w:tc>
      </w:tr>
      <w:tr w:rsidR="00D74F79" w:rsidRPr="00AB3F81" w14:paraId="6BBCA0D4" w14:textId="77777777" w:rsidTr="00D74F79">
        <w:trPr>
          <w:trHeight w:val="659"/>
        </w:trPr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7CBD7" w14:textId="77777777" w:rsidR="00D74F79" w:rsidRPr="000028E5" w:rsidRDefault="00D74F79" w:rsidP="0017505B">
            <w:pPr>
              <w:ind w:left="14"/>
              <w:rPr>
                <w:szCs w:val="20"/>
              </w:rPr>
            </w:pPr>
            <w:r w:rsidRPr="000028E5">
              <w:rPr>
                <w:szCs w:val="20"/>
              </w:rPr>
              <w:t>Náklady celkem: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3CA21" w14:textId="77777777" w:rsidR="00D74F79" w:rsidRPr="000028E5" w:rsidRDefault="00D74F79" w:rsidP="0017505B">
            <w:pPr>
              <w:ind w:left="18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9 192 000 Kč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E115B" w14:textId="77777777" w:rsidR="00D74F79" w:rsidRPr="000028E5" w:rsidRDefault="00D74F79" w:rsidP="0017505B">
            <w:pPr>
              <w:ind w:left="19"/>
              <w:jc w:val="right"/>
              <w:rPr>
                <w:szCs w:val="20"/>
              </w:rPr>
            </w:pPr>
            <w:r w:rsidRPr="000028E5">
              <w:rPr>
                <w:szCs w:val="20"/>
              </w:rPr>
              <w:t>80 000 Kč</w:t>
            </w:r>
          </w:p>
        </w:tc>
      </w:tr>
    </w:tbl>
    <w:p w14:paraId="6E2372EE" w14:textId="77777777" w:rsidR="00734C3A" w:rsidRPr="00A353B1" w:rsidRDefault="00734C3A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</w:p>
    <w:p w14:paraId="4BAB6563" w14:textId="303918F1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přičemž je možno se odchýlit od tohoto rozpočtu tak, že lze navýšit jednotlivý druh uznatelných nákladů (uvedený v</w:t>
      </w:r>
      <w:r w:rsidR="00EF771F" w:rsidRPr="00A353B1">
        <w:rPr>
          <w:rFonts w:cs="Arial"/>
          <w:bCs/>
          <w:sz w:val="22"/>
        </w:rPr>
        <w:t xml:space="preserve"> rozpočtu projektu) maximálně o 20 </w:t>
      </w:r>
      <w:r w:rsidRPr="00A353B1">
        <w:rPr>
          <w:rFonts w:cs="Arial"/>
          <w:bCs/>
          <w:sz w:val="22"/>
        </w:rPr>
        <w:t>%</w:t>
      </w:r>
      <w:r w:rsidR="00EF771F" w:rsidRPr="00A353B1">
        <w:rPr>
          <w:rFonts w:cs="Arial"/>
          <w:bCs/>
          <w:sz w:val="22"/>
        </w:rPr>
        <w:t xml:space="preserve"> </w:t>
      </w:r>
      <w:r w:rsidRPr="00A353B1">
        <w:rPr>
          <w:rFonts w:cs="Arial"/>
          <w:bCs/>
          <w:sz w:val="22"/>
        </w:rPr>
        <w:t>z částky dotace přiznané na tento nákladový druh za podmínky, že bude dodržena celková výše poskytnuté dotace a změny nebudou mít vliv na účelové určení dotace.</w:t>
      </w:r>
    </w:p>
    <w:p w14:paraId="2C7D2019" w14:textId="77777777" w:rsidR="00542070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3AF199CD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A27BBB">
        <w:rPr>
          <w:rFonts w:cs="Arial"/>
          <w:b/>
          <w:bCs/>
          <w:color w:val="000000"/>
          <w:sz w:val="22"/>
        </w:rPr>
        <w:t>3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3978350D" w:rsidR="00125BD7" w:rsidRDefault="00125BD7" w:rsidP="005A1FD3">
      <w:pPr>
        <w:pStyle w:val="Zhlav"/>
        <w:rPr>
          <w:sz w:val="24"/>
        </w:rPr>
      </w:pPr>
    </w:p>
    <w:p w14:paraId="53981979" w14:textId="268DFD13" w:rsidR="00C650B7" w:rsidRDefault="00C650B7" w:rsidP="005A1FD3">
      <w:pPr>
        <w:pStyle w:val="Zhlav"/>
        <w:rPr>
          <w:sz w:val="24"/>
        </w:rPr>
      </w:pPr>
    </w:p>
    <w:p w14:paraId="30327E85" w14:textId="68369610" w:rsidR="00C650B7" w:rsidRDefault="00C650B7" w:rsidP="005A1FD3">
      <w:pPr>
        <w:pStyle w:val="Zhlav"/>
        <w:rPr>
          <w:sz w:val="24"/>
        </w:rPr>
      </w:pPr>
    </w:p>
    <w:p w14:paraId="1127E4FE" w14:textId="59080E84" w:rsidR="00C650B7" w:rsidRDefault="00C650B7" w:rsidP="005A1FD3">
      <w:pPr>
        <w:pStyle w:val="Zhlav"/>
        <w:rPr>
          <w:sz w:val="24"/>
        </w:rPr>
      </w:pPr>
    </w:p>
    <w:p w14:paraId="2521C97A" w14:textId="77777777" w:rsidR="00C650B7" w:rsidRDefault="00C650B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2922C7B7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 w:rsidR="004761C3" w:rsidRPr="004761C3">
        <w:rPr>
          <w:rFonts w:cs="Arial"/>
          <w:b/>
          <w:sz w:val="22"/>
        </w:rPr>
        <w:t>0</w:t>
      </w:r>
      <w:r w:rsidR="00A27BBB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A27BBB">
        <w:rPr>
          <w:rFonts w:cs="Arial"/>
          <w:b/>
          <w:sz w:val="22"/>
        </w:rPr>
        <w:t>4</w:t>
      </w:r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3D1F0933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B95EF6">
        <w:rPr>
          <w:rFonts w:cs="Arial"/>
          <w:b/>
          <w:sz w:val="22"/>
        </w:rPr>
        <w:t>160393</w:t>
      </w:r>
      <w:r w:rsidR="00C711E5">
        <w:rPr>
          <w:rFonts w:cs="Arial"/>
          <w:b/>
          <w:sz w:val="22"/>
        </w:rPr>
        <w:t>2022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40F2FCA7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C4615A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501B6B45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A27BBB">
        <w:rPr>
          <w:rFonts w:cs="Arial"/>
          <w:b/>
          <w:sz w:val="22"/>
        </w:rPr>
        <w:t>3</w:t>
      </w:r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A27BBB">
        <w:rPr>
          <w:rFonts w:cs="Arial"/>
          <w:b/>
          <w:sz w:val="22"/>
        </w:rPr>
        <w:t>3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A27BBB">
        <w:rPr>
          <w:rFonts w:cs="Arial"/>
          <w:b/>
          <w:sz w:val="22"/>
        </w:rPr>
        <w:t>3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A27BBB">
        <w:rPr>
          <w:rFonts w:cs="Arial"/>
          <w:b/>
          <w:sz w:val="22"/>
        </w:rPr>
        <w:t>3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516004AB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C4615A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26C438B3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C4615A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71345A33" w:rsidR="006B3E23" w:rsidRPr="0004624B" w:rsidRDefault="006B3E23" w:rsidP="0004624B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04624B">
        <w:rPr>
          <w:rFonts w:cs="Arial"/>
          <w:sz w:val="22"/>
        </w:rPr>
        <w:t xml:space="preserve"> </w:t>
      </w:r>
      <w:r w:rsidRPr="0004624B">
        <w:rPr>
          <w:rFonts w:cs="Arial"/>
          <w:sz w:val="22"/>
        </w:rPr>
        <w:t xml:space="preserve">kázně stanoví ve výši </w:t>
      </w:r>
      <w:r w:rsidRPr="0004624B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5E9161A1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této smlouvy jsou vykonávané 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 xml:space="preserve">(ev. č. smlouvy </w:t>
      </w:r>
      <w:r w:rsidR="003046E6" w:rsidRPr="00C4615A">
        <w:rPr>
          <w:rFonts w:cs="Arial"/>
          <w:b/>
          <w:sz w:val="22"/>
        </w:rPr>
        <w:t>06909/2020/SOC</w:t>
      </w:r>
      <w:r w:rsidRPr="00B2068C">
        <w:rPr>
          <w:rFonts w:cs="Arial"/>
          <w:sz w:val="22"/>
        </w:rPr>
        <w:t>,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Komise 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č. 340/2015 Sb., o zvláštních podmínkách účinnosti některých smluv, uveřejňování těchto </w:t>
      </w:r>
      <w:r w:rsidRPr="002F583F">
        <w:rPr>
          <w:rFonts w:cs="Arial"/>
          <w:sz w:val="22"/>
        </w:rPr>
        <w:lastRenderedPageBreak/>
        <w:t>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046A5516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C4615A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75088FDF" w14:textId="5F7CD55F" w:rsidR="001E53E4" w:rsidRDefault="001E53E4" w:rsidP="000028E5">
      <w:pPr>
        <w:widowControl w:val="0"/>
        <w:spacing w:after="0"/>
        <w:rPr>
          <w:rFonts w:cs="Arial"/>
          <w:sz w:val="22"/>
        </w:rPr>
      </w:pPr>
    </w:p>
    <w:p w14:paraId="28C50F4B" w14:textId="77777777" w:rsidR="001E53E4" w:rsidRDefault="001E53E4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77777777" w:rsidR="00287A6A" w:rsidRPr="002F583F" w:rsidRDefault="00287A6A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62F98A75" w:rsidR="00EF4089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825CCF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825CCF">
        <w:rPr>
          <w:rFonts w:cs="Arial"/>
          <w:sz w:val="22"/>
        </w:rPr>
        <w:t>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0028E5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0028E5">
        <w:rPr>
          <w:rFonts w:cs="Arial"/>
          <w:sz w:val="22"/>
        </w:rPr>
        <w:t xml:space="preserve"> 91 </w:t>
      </w:r>
      <w:r w:rsidR="00EF4089" w:rsidRPr="00ED6335">
        <w:rPr>
          <w:rFonts w:cs="Arial"/>
          <w:sz w:val="22"/>
        </w:rPr>
        <w:t>ze dne</w:t>
      </w:r>
      <w:r w:rsidR="000028E5">
        <w:rPr>
          <w:rFonts w:cs="Arial"/>
          <w:sz w:val="22"/>
        </w:rPr>
        <w:t xml:space="preserve"> 20.03.2023</w:t>
      </w:r>
      <w:r w:rsidR="002E02EA">
        <w:rPr>
          <w:rFonts w:cs="Arial"/>
          <w:sz w:val="22"/>
        </w:rPr>
        <w:t>.</w:t>
      </w:r>
    </w:p>
    <w:p w14:paraId="1A41A371" w14:textId="77777777" w:rsidR="000028E5" w:rsidRPr="002F583F" w:rsidRDefault="000028E5">
      <w:pPr>
        <w:widowControl w:val="0"/>
        <w:spacing w:after="0"/>
        <w:ind w:left="284"/>
        <w:rPr>
          <w:rFonts w:cs="Arial"/>
          <w:sz w:val="22"/>
        </w:rPr>
      </w:pP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48A6B62C" w14:textId="77777777" w:rsidR="000028E5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</w:p>
    <w:p w14:paraId="33861EB1" w14:textId="419BF186" w:rsidR="00F50251" w:rsidRPr="002F583F" w:rsidRDefault="000028E5" w:rsidP="000028E5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 w:rsidR="00287A6A"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 w:rsidR="00287A6A"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 w:rsidR="00287A6A"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7149C758" w14:textId="77777777" w:rsidR="000028E5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</w:t>
      </w:r>
    </w:p>
    <w:p w14:paraId="01742FA0" w14:textId="1E2B88B8" w:rsidR="000028E5" w:rsidRDefault="000028E5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0728C181" w14:textId="77777777" w:rsidR="000246B9" w:rsidRDefault="000246B9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27A40C53" w14:textId="0BF8D849" w:rsidR="00F50251" w:rsidRPr="002F583F" w:rsidRDefault="000028E5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287A6A">
        <w:rPr>
          <w:rFonts w:cs="Arial"/>
          <w:sz w:val="22"/>
        </w:rPr>
        <w:t xml:space="preserve"> </w:t>
      </w:r>
      <w:r w:rsidR="00F50251"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33AC642C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287A6A">
        <w:rPr>
          <w:rFonts w:cs="Arial"/>
          <w:sz w:val="22"/>
        </w:rPr>
        <w:t>Mgr. Zuzana Filipková, Ph.D.</w:t>
      </w:r>
    </w:p>
    <w:p w14:paraId="2F93F247" w14:textId="1F47AE66" w:rsidR="00C25A2F" w:rsidRDefault="00C25A2F" w:rsidP="00B2068C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7F5D29">
        <w:rPr>
          <w:rFonts w:cs="Arial"/>
          <w:sz w:val="22"/>
        </w:rPr>
        <w:t xml:space="preserve">            </w:t>
      </w:r>
      <w:r w:rsidR="00287A6A">
        <w:rPr>
          <w:rFonts w:cs="Arial"/>
          <w:sz w:val="22"/>
        </w:rPr>
        <w:t xml:space="preserve">ředitelka </w:t>
      </w:r>
    </w:p>
    <w:p w14:paraId="7364942D" w14:textId="77777777" w:rsidR="00081528" w:rsidRDefault="00081528" w:rsidP="00724AB2">
      <w:pPr>
        <w:ind w:left="-426"/>
      </w:pPr>
    </w:p>
    <w:p w14:paraId="6DDB13F4" w14:textId="4AA86A9F" w:rsidR="00081528" w:rsidRDefault="00081528" w:rsidP="00724AB2">
      <w:pPr>
        <w:ind w:left="-426"/>
      </w:pPr>
    </w:p>
    <w:p w14:paraId="3A0F2629" w14:textId="29414F2E" w:rsidR="003046E6" w:rsidRDefault="003046E6" w:rsidP="00724AB2">
      <w:pPr>
        <w:ind w:left="-426"/>
      </w:pPr>
    </w:p>
    <w:p w14:paraId="49875A06" w14:textId="4C97B10C" w:rsidR="003046E6" w:rsidRDefault="003046E6" w:rsidP="00724AB2">
      <w:pPr>
        <w:ind w:left="-426"/>
      </w:pPr>
    </w:p>
    <w:p w14:paraId="727004A7" w14:textId="67F452A8" w:rsidR="003046E6" w:rsidRDefault="003046E6" w:rsidP="00724AB2">
      <w:pPr>
        <w:ind w:left="-426"/>
      </w:pPr>
    </w:p>
    <w:p w14:paraId="2313E5A1" w14:textId="4244824A" w:rsidR="003046E6" w:rsidRDefault="003046E6" w:rsidP="00724AB2">
      <w:pPr>
        <w:ind w:left="-426"/>
      </w:pPr>
    </w:p>
    <w:p w14:paraId="59472C38" w14:textId="309763F2" w:rsidR="003046E6" w:rsidRDefault="003046E6" w:rsidP="00724AB2">
      <w:pPr>
        <w:ind w:left="-426"/>
      </w:pPr>
    </w:p>
    <w:p w14:paraId="3AE20A57" w14:textId="4C430D7E" w:rsidR="003046E6" w:rsidRDefault="003046E6" w:rsidP="00724AB2">
      <w:pPr>
        <w:ind w:left="-426"/>
      </w:pPr>
    </w:p>
    <w:p w14:paraId="43696A0C" w14:textId="12DDD646" w:rsidR="003046E6" w:rsidRDefault="003046E6" w:rsidP="00724AB2">
      <w:pPr>
        <w:ind w:left="-426"/>
      </w:pPr>
    </w:p>
    <w:p w14:paraId="6371ECCE" w14:textId="36B014FE" w:rsidR="003046E6" w:rsidRDefault="003046E6" w:rsidP="00724AB2">
      <w:pPr>
        <w:ind w:left="-426"/>
      </w:pPr>
    </w:p>
    <w:p w14:paraId="1C2215D7" w14:textId="6CD636CF" w:rsidR="003046E6" w:rsidRDefault="003046E6" w:rsidP="00724AB2">
      <w:pPr>
        <w:ind w:left="-426"/>
      </w:pPr>
    </w:p>
    <w:p w14:paraId="7E0508D2" w14:textId="2141956F" w:rsidR="001F3503" w:rsidRDefault="001F3503" w:rsidP="00156BC9"/>
    <w:p w14:paraId="7CA5326D" w14:textId="6961080F" w:rsidR="00156BC9" w:rsidRDefault="00156BC9" w:rsidP="00156BC9">
      <w:bookmarkStart w:id="1" w:name="_GoBack"/>
      <w:bookmarkEnd w:id="1"/>
    </w:p>
    <w:p w14:paraId="44C541EE" w14:textId="769BED61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84C7503" w:rsidR="00724AB2" w:rsidRDefault="00724AB2" w:rsidP="00724AB2">
      <w:pPr>
        <w:ind w:left="-426"/>
      </w:pPr>
      <w:r w:rsidRPr="00724AB2">
        <w:rPr>
          <w:noProof/>
          <w:lang w:eastAsia="cs-CZ" w:bidi="ar-SA"/>
        </w:rPr>
        <w:drawing>
          <wp:inline distT="0" distB="0" distL="0" distR="0" wp14:anchorId="58A576DF" wp14:editId="15D28C84">
            <wp:extent cx="6267450" cy="892997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97" cy="89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F5EB5" w14:textId="77777777" w:rsidR="00202B70" w:rsidRDefault="00202B70" w:rsidP="00944058">
      <w:r>
        <w:separator/>
      </w:r>
    </w:p>
  </w:endnote>
  <w:endnote w:type="continuationSeparator" w:id="0">
    <w:p w14:paraId="0E66DF0E" w14:textId="77777777" w:rsidR="00202B70" w:rsidRDefault="00202B70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5CB79181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0246B9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0246B9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3B4C1D60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0246B9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0246B9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35715" w14:textId="77777777" w:rsidR="00202B70" w:rsidRDefault="00202B70" w:rsidP="00944058">
      <w:r>
        <w:separator/>
      </w:r>
    </w:p>
  </w:footnote>
  <w:footnote w:type="continuationSeparator" w:id="0">
    <w:p w14:paraId="19AE6A43" w14:textId="77777777" w:rsidR="00202B70" w:rsidRDefault="00202B70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28E5"/>
    <w:rsid w:val="0000317D"/>
    <w:rsid w:val="000100E5"/>
    <w:rsid w:val="00010491"/>
    <w:rsid w:val="00012F2B"/>
    <w:rsid w:val="00017563"/>
    <w:rsid w:val="000177AD"/>
    <w:rsid w:val="00017CCF"/>
    <w:rsid w:val="000205E6"/>
    <w:rsid w:val="000246B9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4624B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D2AA9"/>
    <w:rsid w:val="000D2BEC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0DCA"/>
    <w:rsid w:val="00154FC6"/>
    <w:rsid w:val="00156BC9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A786E"/>
    <w:rsid w:val="001B54F7"/>
    <w:rsid w:val="001C1AF5"/>
    <w:rsid w:val="001C38BA"/>
    <w:rsid w:val="001C3E17"/>
    <w:rsid w:val="001C6BF1"/>
    <w:rsid w:val="001D095C"/>
    <w:rsid w:val="001D44D3"/>
    <w:rsid w:val="001D5028"/>
    <w:rsid w:val="001D62C6"/>
    <w:rsid w:val="001E04BD"/>
    <w:rsid w:val="001E42C6"/>
    <w:rsid w:val="001E53E4"/>
    <w:rsid w:val="001F0122"/>
    <w:rsid w:val="001F2B6C"/>
    <w:rsid w:val="001F3503"/>
    <w:rsid w:val="001F6015"/>
    <w:rsid w:val="001F6E1B"/>
    <w:rsid w:val="00200DF4"/>
    <w:rsid w:val="002021DC"/>
    <w:rsid w:val="00202B70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F87"/>
    <w:rsid w:val="00324669"/>
    <w:rsid w:val="00325692"/>
    <w:rsid w:val="00332500"/>
    <w:rsid w:val="003327C1"/>
    <w:rsid w:val="00340165"/>
    <w:rsid w:val="00343612"/>
    <w:rsid w:val="003454D1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90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9597E"/>
    <w:rsid w:val="004A1D8E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549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21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1C9B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E6763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4C3A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48D0"/>
    <w:rsid w:val="007C58FC"/>
    <w:rsid w:val="007D0371"/>
    <w:rsid w:val="007D37D4"/>
    <w:rsid w:val="007D7E65"/>
    <w:rsid w:val="007E2EF1"/>
    <w:rsid w:val="007E5C2B"/>
    <w:rsid w:val="007E6C85"/>
    <w:rsid w:val="007F1638"/>
    <w:rsid w:val="007F3E69"/>
    <w:rsid w:val="007F5D29"/>
    <w:rsid w:val="007F79C5"/>
    <w:rsid w:val="0080225D"/>
    <w:rsid w:val="008032F2"/>
    <w:rsid w:val="00803F1E"/>
    <w:rsid w:val="00805534"/>
    <w:rsid w:val="00815C40"/>
    <w:rsid w:val="00820ACC"/>
    <w:rsid w:val="008228E6"/>
    <w:rsid w:val="00824DE0"/>
    <w:rsid w:val="00825809"/>
    <w:rsid w:val="00825CCF"/>
    <w:rsid w:val="00827151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2F87"/>
    <w:rsid w:val="00903393"/>
    <w:rsid w:val="00903DC1"/>
    <w:rsid w:val="009149CC"/>
    <w:rsid w:val="00922C36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27DF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27BBB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0B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1F13"/>
    <w:rsid w:val="00B94420"/>
    <w:rsid w:val="00B95EF6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0727A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AC8"/>
    <w:rsid w:val="00C43FC6"/>
    <w:rsid w:val="00C44835"/>
    <w:rsid w:val="00C4615A"/>
    <w:rsid w:val="00C4630A"/>
    <w:rsid w:val="00C46C53"/>
    <w:rsid w:val="00C52D40"/>
    <w:rsid w:val="00C54070"/>
    <w:rsid w:val="00C54DBC"/>
    <w:rsid w:val="00C615C8"/>
    <w:rsid w:val="00C626DE"/>
    <w:rsid w:val="00C62D7D"/>
    <w:rsid w:val="00C650B7"/>
    <w:rsid w:val="00C66DDF"/>
    <w:rsid w:val="00C66F46"/>
    <w:rsid w:val="00C67801"/>
    <w:rsid w:val="00C711E5"/>
    <w:rsid w:val="00C738B8"/>
    <w:rsid w:val="00C73E52"/>
    <w:rsid w:val="00C77DC4"/>
    <w:rsid w:val="00C80B1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012D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188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266F7"/>
    <w:rsid w:val="00D321F7"/>
    <w:rsid w:val="00D3526C"/>
    <w:rsid w:val="00D3631F"/>
    <w:rsid w:val="00D53787"/>
    <w:rsid w:val="00D55F3A"/>
    <w:rsid w:val="00D60D85"/>
    <w:rsid w:val="00D64F02"/>
    <w:rsid w:val="00D670BD"/>
    <w:rsid w:val="00D74F79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4C91"/>
    <w:rsid w:val="00DE53FE"/>
    <w:rsid w:val="00DE5616"/>
    <w:rsid w:val="00DE58D1"/>
    <w:rsid w:val="00DE5F18"/>
    <w:rsid w:val="00DF46BE"/>
    <w:rsid w:val="00DF6DE7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32E9"/>
    <w:rsid w:val="00EA46B3"/>
    <w:rsid w:val="00EA5139"/>
    <w:rsid w:val="00EA6117"/>
    <w:rsid w:val="00EA77A5"/>
    <w:rsid w:val="00EB031C"/>
    <w:rsid w:val="00EB0C59"/>
    <w:rsid w:val="00EB5D21"/>
    <w:rsid w:val="00EB6BF4"/>
    <w:rsid w:val="00EB78FA"/>
    <w:rsid w:val="00EC2C5E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161B0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1B13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1677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825CCF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8190B"/>
    <w:rsid w:val="000C4B80"/>
    <w:rsid w:val="001062DD"/>
    <w:rsid w:val="00151F15"/>
    <w:rsid w:val="0021084C"/>
    <w:rsid w:val="002420B3"/>
    <w:rsid w:val="002808F4"/>
    <w:rsid w:val="002B46AE"/>
    <w:rsid w:val="002D0D79"/>
    <w:rsid w:val="00362ED9"/>
    <w:rsid w:val="004A3656"/>
    <w:rsid w:val="004D2D1F"/>
    <w:rsid w:val="00677F26"/>
    <w:rsid w:val="006C7373"/>
    <w:rsid w:val="00874462"/>
    <w:rsid w:val="0095787F"/>
    <w:rsid w:val="00A23E0C"/>
    <w:rsid w:val="00BF6D56"/>
    <w:rsid w:val="00C11674"/>
    <w:rsid w:val="00CB6B39"/>
    <w:rsid w:val="00CD1BE0"/>
    <w:rsid w:val="00D00F1E"/>
    <w:rsid w:val="00D034BF"/>
    <w:rsid w:val="00D226C3"/>
    <w:rsid w:val="00D304A8"/>
    <w:rsid w:val="00E27072"/>
    <w:rsid w:val="00E47D14"/>
    <w:rsid w:val="00F626F4"/>
    <w:rsid w:val="00F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4528-8112-4B0B-98A9-A1B056D6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2446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8</cp:revision>
  <cp:lastPrinted>2021-11-22T14:16:00Z</cp:lastPrinted>
  <dcterms:created xsi:type="dcterms:W3CDTF">2023-01-17T12:53:00Z</dcterms:created>
  <dcterms:modified xsi:type="dcterms:W3CDTF">2023-04-21T07:53:00Z</dcterms:modified>
  <cp:category>MMK.01.02.01</cp:category>
</cp:coreProperties>
</file>