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5" w:type="dxa"/>
        <w:tblLayout w:type="fixed"/>
        <w:tblCellMar>
          <w:left w:w="30" w:type="dxa"/>
          <w:right w:w="30" w:type="dxa"/>
        </w:tblCellMar>
        <w:tblLook w:val="04A0" w:firstRow="1" w:lastRow="0" w:firstColumn="1" w:lastColumn="0" w:noHBand="0" w:noVBand="1"/>
      </w:tblPr>
      <w:tblGrid>
        <w:gridCol w:w="3261"/>
        <w:gridCol w:w="3261"/>
        <w:gridCol w:w="506"/>
        <w:gridCol w:w="977"/>
        <w:gridCol w:w="976"/>
        <w:gridCol w:w="1594"/>
      </w:tblGrid>
      <w:tr w:rsidR="00802843" w14:paraId="4C87D223" w14:textId="77777777" w:rsidTr="00802843">
        <w:trPr>
          <w:trHeight w:val="406"/>
        </w:trPr>
        <w:tc>
          <w:tcPr>
            <w:tcW w:w="3261" w:type="dxa"/>
          </w:tcPr>
          <w:p w14:paraId="22CDEDFB" w14:textId="7976600D" w:rsidR="00802843" w:rsidRPr="00802843" w:rsidRDefault="00802843" w:rsidP="00802843">
            <w:pPr>
              <w:autoSpaceDE w:val="0"/>
              <w:autoSpaceDN w:val="0"/>
              <w:adjustRightInd w:val="0"/>
              <w:ind w:left="0" w:right="0" w:firstLine="0"/>
              <w:jc w:val="left"/>
              <w:rPr>
                <w:rFonts w:cstheme="minorHAnsi"/>
                <w:b/>
                <w:bCs/>
                <w:color w:val="000000"/>
                <w:sz w:val="28"/>
                <w:szCs w:val="28"/>
              </w:rPr>
            </w:pPr>
            <w:r w:rsidRPr="00802843">
              <w:rPr>
                <w:rFonts w:cstheme="minorHAnsi"/>
                <w:b/>
                <w:bCs/>
                <w:color w:val="000000"/>
                <w:sz w:val="28"/>
                <w:szCs w:val="28"/>
              </w:rPr>
              <w:t xml:space="preserve">Změnový list č. </w:t>
            </w:r>
            <w:r w:rsidR="00112676">
              <w:rPr>
                <w:rFonts w:cstheme="minorHAnsi"/>
                <w:b/>
                <w:bCs/>
                <w:color w:val="000000"/>
                <w:sz w:val="28"/>
                <w:szCs w:val="28"/>
              </w:rPr>
              <w:t>2</w:t>
            </w:r>
          </w:p>
          <w:p w14:paraId="512F7100" w14:textId="77777777" w:rsidR="00802843" w:rsidRPr="00802843" w:rsidRDefault="00802843" w:rsidP="00802843">
            <w:pPr>
              <w:autoSpaceDE w:val="0"/>
              <w:autoSpaceDN w:val="0"/>
              <w:adjustRightInd w:val="0"/>
              <w:ind w:left="0" w:right="0" w:firstLine="0"/>
              <w:jc w:val="left"/>
              <w:rPr>
                <w:rFonts w:cstheme="minorHAnsi"/>
                <w:b/>
                <w:bCs/>
                <w:color w:val="000000"/>
                <w:sz w:val="28"/>
                <w:szCs w:val="28"/>
              </w:rPr>
            </w:pPr>
          </w:p>
        </w:tc>
        <w:tc>
          <w:tcPr>
            <w:tcW w:w="3261" w:type="dxa"/>
            <w:hideMark/>
          </w:tcPr>
          <w:p w14:paraId="240EFD65" w14:textId="77777777" w:rsidR="00802843" w:rsidRPr="00802843" w:rsidRDefault="00802843" w:rsidP="00802843">
            <w:pPr>
              <w:autoSpaceDE w:val="0"/>
              <w:autoSpaceDN w:val="0"/>
              <w:adjustRightInd w:val="0"/>
              <w:ind w:left="0" w:right="0" w:firstLine="0"/>
              <w:jc w:val="left"/>
              <w:rPr>
                <w:rFonts w:cstheme="minorHAnsi"/>
                <w:b/>
                <w:bCs/>
                <w:color w:val="000000"/>
                <w:sz w:val="28"/>
                <w:szCs w:val="28"/>
              </w:rPr>
            </w:pPr>
          </w:p>
        </w:tc>
        <w:tc>
          <w:tcPr>
            <w:tcW w:w="506" w:type="dxa"/>
          </w:tcPr>
          <w:p w14:paraId="6E1BD0D9" w14:textId="77777777" w:rsidR="00802843" w:rsidRPr="00802843" w:rsidRDefault="00802843" w:rsidP="00802843">
            <w:pPr>
              <w:autoSpaceDE w:val="0"/>
              <w:autoSpaceDN w:val="0"/>
              <w:adjustRightInd w:val="0"/>
              <w:ind w:left="0" w:right="0" w:firstLine="0"/>
              <w:rPr>
                <w:rFonts w:cstheme="minorHAnsi"/>
                <w:b/>
                <w:bCs/>
                <w:color w:val="000000"/>
                <w:sz w:val="28"/>
                <w:szCs w:val="28"/>
              </w:rPr>
            </w:pPr>
          </w:p>
        </w:tc>
        <w:tc>
          <w:tcPr>
            <w:tcW w:w="977" w:type="dxa"/>
          </w:tcPr>
          <w:p w14:paraId="3C2807C6" w14:textId="77777777" w:rsidR="00802843" w:rsidRPr="00802843" w:rsidRDefault="00802843" w:rsidP="00802843">
            <w:pPr>
              <w:autoSpaceDE w:val="0"/>
              <w:autoSpaceDN w:val="0"/>
              <w:adjustRightInd w:val="0"/>
              <w:ind w:left="0" w:right="0" w:firstLine="0"/>
              <w:jc w:val="right"/>
              <w:rPr>
                <w:rFonts w:cstheme="minorHAnsi"/>
                <w:b/>
                <w:bCs/>
                <w:color w:val="000000"/>
                <w:sz w:val="28"/>
                <w:szCs w:val="28"/>
              </w:rPr>
            </w:pPr>
          </w:p>
        </w:tc>
        <w:tc>
          <w:tcPr>
            <w:tcW w:w="976" w:type="dxa"/>
          </w:tcPr>
          <w:p w14:paraId="66BF02FB" w14:textId="77777777" w:rsidR="00802843" w:rsidRPr="00802843" w:rsidRDefault="00802843" w:rsidP="00802843">
            <w:pPr>
              <w:autoSpaceDE w:val="0"/>
              <w:autoSpaceDN w:val="0"/>
              <w:adjustRightInd w:val="0"/>
              <w:ind w:left="0" w:right="0" w:firstLine="0"/>
              <w:jc w:val="right"/>
              <w:rPr>
                <w:rFonts w:cstheme="minorHAnsi"/>
                <w:b/>
                <w:bCs/>
                <w:color w:val="000000"/>
                <w:sz w:val="28"/>
                <w:szCs w:val="28"/>
              </w:rPr>
            </w:pPr>
          </w:p>
        </w:tc>
        <w:tc>
          <w:tcPr>
            <w:tcW w:w="1594" w:type="dxa"/>
            <w:hideMark/>
          </w:tcPr>
          <w:p w14:paraId="48E23F09" w14:textId="77777777" w:rsidR="00802843" w:rsidRPr="00802843" w:rsidRDefault="00802843" w:rsidP="00802843">
            <w:pPr>
              <w:autoSpaceDE w:val="0"/>
              <w:autoSpaceDN w:val="0"/>
              <w:adjustRightInd w:val="0"/>
              <w:ind w:left="0" w:right="0" w:firstLine="0"/>
              <w:jc w:val="left"/>
              <w:rPr>
                <w:rFonts w:cstheme="minorHAnsi"/>
                <w:b/>
                <w:bCs/>
                <w:color w:val="000000"/>
                <w:sz w:val="28"/>
                <w:szCs w:val="28"/>
              </w:rPr>
            </w:pPr>
          </w:p>
          <w:p w14:paraId="2A990CAB" w14:textId="77777777" w:rsidR="00802843" w:rsidRPr="00802843" w:rsidRDefault="00802843" w:rsidP="00802843">
            <w:pPr>
              <w:autoSpaceDE w:val="0"/>
              <w:autoSpaceDN w:val="0"/>
              <w:adjustRightInd w:val="0"/>
              <w:ind w:left="0" w:right="0" w:firstLine="0"/>
              <w:jc w:val="left"/>
              <w:rPr>
                <w:rFonts w:cstheme="minorHAnsi"/>
                <w:b/>
                <w:bCs/>
                <w:color w:val="000000"/>
                <w:sz w:val="28"/>
                <w:szCs w:val="28"/>
              </w:rPr>
            </w:pPr>
          </w:p>
        </w:tc>
      </w:tr>
    </w:tbl>
    <w:tbl>
      <w:tblPr>
        <w:tblStyle w:val="Mkatabulky"/>
        <w:tblW w:w="0" w:type="auto"/>
        <w:tblInd w:w="-5" w:type="dxa"/>
        <w:tblLook w:val="04A0" w:firstRow="1" w:lastRow="0" w:firstColumn="1" w:lastColumn="0" w:noHBand="0" w:noVBand="1"/>
      </w:tblPr>
      <w:tblGrid>
        <w:gridCol w:w="1843"/>
        <w:gridCol w:w="7224"/>
      </w:tblGrid>
      <w:tr w:rsidR="00BD4C2E" w14:paraId="3A050EB7" w14:textId="77777777" w:rsidTr="00BD4C2E">
        <w:tc>
          <w:tcPr>
            <w:tcW w:w="1843" w:type="dxa"/>
          </w:tcPr>
          <w:p w14:paraId="2DF5109A" w14:textId="77777777" w:rsidR="00BD4C2E" w:rsidRDefault="00BD4C2E">
            <w:pPr>
              <w:ind w:left="0" w:firstLine="0"/>
            </w:pPr>
            <w:r>
              <w:t>Název akce:</w:t>
            </w:r>
          </w:p>
        </w:tc>
        <w:tc>
          <w:tcPr>
            <w:tcW w:w="7224" w:type="dxa"/>
          </w:tcPr>
          <w:p w14:paraId="2D8A9F11" w14:textId="4D0324D0" w:rsidR="00BD4C2E" w:rsidRDefault="007532CA" w:rsidP="00BD4C2E">
            <w:pPr>
              <w:ind w:left="0" w:firstLine="0"/>
            </w:pPr>
            <w:r w:rsidRPr="004E5A67">
              <w:rPr>
                <w:b/>
              </w:rPr>
              <w:t xml:space="preserve">„SH </w:t>
            </w:r>
            <w:proofErr w:type="spellStart"/>
            <w:r w:rsidRPr="004E5A67">
              <w:rPr>
                <w:b/>
              </w:rPr>
              <w:t>Buchlov</w:t>
            </w:r>
            <w:proofErr w:type="spellEnd"/>
            <w:r w:rsidRPr="004E5A67">
              <w:rPr>
                <w:b/>
              </w:rPr>
              <w:t xml:space="preserve"> – obnova střech věže Andělky a přístavku“</w:t>
            </w:r>
          </w:p>
        </w:tc>
      </w:tr>
      <w:tr w:rsidR="00BD4C2E" w14:paraId="7E09DC2F" w14:textId="77777777" w:rsidTr="00BD4C2E">
        <w:tc>
          <w:tcPr>
            <w:tcW w:w="1843" w:type="dxa"/>
          </w:tcPr>
          <w:p w14:paraId="6F125D84" w14:textId="77777777" w:rsidR="00BD4C2E" w:rsidRDefault="00BD4C2E">
            <w:pPr>
              <w:ind w:left="0" w:firstLine="0"/>
            </w:pPr>
            <w:r>
              <w:t>Objednatel:</w:t>
            </w:r>
          </w:p>
        </w:tc>
        <w:tc>
          <w:tcPr>
            <w:tcW w:w="7224" w:type="dxa"/>
          </w:tcPr>
          <w:p w14:paraId="78FC31A7" w14:textId="1064D09A" w:rsidR="00BD4C2E" w:rsidRDefault="00BD4C2E">
            <w:pPr>
              <w:ind w:left="0" w:firstLine="0"/>
            </w:pPr>
            <w:r>
              <w:t>Národní památkový ústav, státní příspěvková organizace</w:t>
            </w:r>
          </w:p>
        </w:tc>
      </w:tr>
      <w:tr w:rsidR="00BD4C2E" w14:paraId="22956D03" w14:textId="77777777" w:rsidTr="00BD4C2E">
        <w:tc>
          <w:tcPr>
            <w:tcW w:w="1843" w:type="dxa"/>
          </w:tcPr>
          <w:p w14:paraId="5B50F57A" w14:textId="77777777" w:rsidR="00BD4C2E" w:rsidRDefault="00BD4C2E">
            <w:pPr>
              <w:ind w:left="0" w:firstLine="0"/>
            </w:pPr>
            <w:r>
              <w:t>Zhotovitel:</w:t>
            </w:r>
          </w:p>
        </w:tc>
        <w:tc>
          <w:tcPr>
            <w:tcW w:w="7224" w:type="dxa"/>
          </w:tcPr>
          <w:p w14:paraId="5958111D" w14:textId="0DAF7977" w:rsidR="00BD4C2E" w:rsidRDefault="00BD4C2E">
            <w:pPr>
              <w:ind w:left="0" w:firstLine="0"/>
            </w:pPr>
            <w:r>
              <w:t xml:space="preserve">H &amp; B delta, s.r.o., </w:t>
            </w:r>
            <w:proofErr w:type="spellStart"/>
            <w:r>
              <w:t>Bobrky</w:t>
            </w:r>
            <w:proofErr w:type="spellEnd"/>
            <w:r>
              <w:t xml:space="preserve"> 382, 755 01 Vsetín</w:t>
            </w:r>
          </w:p>
        </w:tc>
      </w:tr>
      <w:tr w:rsidR="00BD4C2E" w14:paraId="29FC1D61" w14:textId="77777777" w:rsidTr="00BD4C2E">
        <w:tc>
          <w:tcPr>
            <w:tcW w:w="1843" w:type="dxa"/>
          </w:tcPr>
          <w:p w14:paraId="5983E002" w14:textId="77777777" w:rsidR="00BD4C2E" w:rsidRDefault="00BD4C2E">
            <w:pPr>
              <w:ind w:left="0" w:firstLine="0"/>
            </w:pPr>
            <w:r>
              <w:t>TDI:</w:t>
            </w:r>
          </w:p>
        </w:tc>
        <w:tc>
          <w:tcPr>
            <w:tcW w:w="7224" w:type="dxa"/>
          </w:tcPr>
          <w:p w14:paraId="3335975A" w14:textId="00E6CC10" w:rsidR="00F44BE2" w:rsidRDefault="00EF4CCD" w:rsidP="00552CA8">
            <w:pPr>
              <w:ind w:left="0" w:firstLine="0"/>
            </w:pPr>
            <w:proofErr w:type="spellStart"/>
            <w:r>
              <w:t>xxxxxxxxxxxxxxx</w:t>
            </w:r>
            <w:proofErr w:type="spellEnd"/>
          </w:p>
        </w:tc>
      </w:tr>
      <w:tr w:rsidR="00F44BE2" w14:paraId="7787F4BB" w14:textId="77777777" w:rsidTr="00BD4C2E">
        <w:tc>
          <w:tcPr>
            <w:tcW w:w="1843" w:type="dxa"/>
          </w:tcPr>
          <w:p w14:paraId="47FFE93B" w14:textId="77777777" w:rsidR="00F44BE2" w:rsidRDefault="00F44BE2">
            <w:pPr>
              <w:ind w:left="0" w:firstLine="0"/>
            </w:pPr>
            <w:r>
              <w:t>Zpracovatel ZL:</w:t>
            </w:r>
          </w:p>
        </w:tc>
        <w:tc>
          <w:tcPr>
            <w:tcW w:w="7224" w:type="dxa"/>
          </w:tcPr>
          <w:p w14:paraId="3FA351DA" w14:textId="2BA204D4" w:rsidR="00F44BE2" w:rsidRDefault="00EF4CCD" w:rsidP="00504595">
            <w:pPr>
              <w:ind w:left="0" w:firstLine="0"/>
            </w:pPr>
            <w:proofErr w:type="spellStart"/>
            <w:r>
              <w:rPr>
                <w:rFonts w:cstheme="minorHAnsi"/>
                <w:b/>
              </w:rPr>
              <w:t>xxxxxxxxxxxxxxx</w:t>
            </w:r>
            <w:proofErr w:type="spellEnd"/>
          </w:p>
        </w:tc>
      </w:tr>
    </w:tbl>
    <w:p w14:paraId="35C49049" w14:textId="77777777" w:rsidR="00E3150A" w:rsidRDefault="00E3150A" w:rsidP="00E3150A"/>
    <w:p w14:paraId="50E01F27" w14:textId="77777777" w:rsidR="00AC6602" w:rsidRDefault="00AC6602" w:rsidP="00E3150A"/>
    <w:p w14:paraId="411804D1" w14:textId="77777777" w:rsidR="00043597" w:rsidRDefault="00E3150A" w:rsidP="00E3150A">
      <w:pPr>
        <w:rPr>
          <w:b/>
          <w:u w:val="single"/>
        </w:rPr>
      </w:pPr>
      <w:r w:rsidRPr="00613996">
        <w:rPr>
          <w:b/>
          <w:u w:val="single"/>
        </w:rPr>
        <w:t>1. Popis předmětu změn</w:t>
      </w:r>
      <w:r w:rsidR="00EC6FEE" w:rsidRPr="00613996">
        <w:rPr>
          <w:b/>
          <w:u w:val="single"/>
        </w:rPr>
        <w:t>, příčiny změn</w:t>
      </w:r>
      <w:r w:rsidRPr="00613996">
        <w:rPr>
          <w:b/>
          <w:u w:val="single"/>
        </w:rPr>
        <w:t xml:space="preserve"> a zdůvodnění změn</w:t>
      </w:r>
    </w:p>
    <w:p w14:paraId="517DA41C" w14:textId="77777777" w:rsidR="00043597" w:rsidRPr="003151E8" w:rsidRDefault="00043597" w:rsidP="00E3150A">
      <w:pPr>
        <w:rPr>
          <w:rFonts w:cstheme="minorHAnsi"/>
          <w:b/>
          <w:u w:val="single"/>
        </w:rPr>
      </w:pPr>
    </w:p>
    <w:p w14:paraId="5C0DAC5F" w14:textId="1896A77B" w:rsidR="00E3150A" w:rsidRPr="003151E8" w:rsidRDefault="00043597" w:rsidP="00E3150A">
      <w:pPr>
        <w:rPr>
          <w:rFonts w:cstheme="minorHAnsi"/>
          <w:b/>
        </w:rPr>
      </w:pPr>
      <w:r w:rsidRPr="003151E8">
        <w:rPr>
          <w:rFonts w:cstheme="minorHAnsi"/>
          <w:b/>
          <w:u w:val="dotted"/>
        </w:rPr>
        <w:t xml:space="preserve">1.1. Příčiny a zdůvodnění změn podléhající § 222 odstavec </w:t>
      </w:r>
      <w:r w:rsidR="00902EEC" w:rsidRPr="003151E8">
        <w:rPr>
          <w:rFonts w:cstheme="minorHAnsi"/>
          <w:b/>
          <w:u w:val="dotted"/>
        </w:rPr>
        <w:t>6</w:t>
      </w:r>
      <w:r w:rsidRPr="003151E8">
        <w:rPr>
          <w:rFonts w:cstheme="minorHAnsi"/>
          <w:b/>
          <w:u w:val="dotted"/>
        </w:rPr>
        <w:t xml:space="preserve"> ZZVZ</w:t>
      </w:r>
      <w:r w:rsidRPr="003151E8">
        <w:rPr>
          <w:rFonts w:cstheme="minorHAnsi"/>
          <w:b/>
        </w:rPr>
        <w:t>:</w:t>
      </w:r>
    </w:p>
    <w:p w14:paraId="139AAF6D" w14:textId="77777777" w:rsidR="00043597" w:rsidRPr="003151E8" w:rsidRDefault="00043597" w:rsidP="00E3150A">
      <w:pPr>
        <w:rPr>
          <w:rFonts w:cstheme="minorHAnsi"/>
          <w:b/>
          <w:u w:val="single"/>
        </w:rPr>
      </w:pPr>
    </w:p>
    <w:p w14:paraId="527BFA4E" w14:textId="51794115" w:rsidR="007532CA" w:rsidRPr="007532CA" w:rsidRDefault="007532CA" w:rsidP="007532CA">
      <w:pPr>
        <w:autoSpaceDE w:val="0"/>
        <w:autoSpaceDN w:val="0"/>
        <w:adjustRightInd w:val="0"/>
        <w:spacing w:after="120"/>
        <w:ind w:left="851" w:right="0" w:hanging="851"/>
        <w:rPr>
          <w:b/>
        </w:rPr>
      </w:pPr>
      <w:r w:rsidRPr="007532CA">
        <w:rPr>
          <w:b/>
        </w:rPr>
        <w:t>Věž Andělka, Oprava obvodového pláště - stabilizační nátěr</w:t>
      </w:r>
    </w:p>
    <w:p w14:paraId="5D72BF81" w14:textId="5D2E5EA5" w:rsidR="00B16937" w:rsidRDefault="007532CA" w:rsidP="00B16937">
      <w:pPr>
        <w:pStyle w:val="Odstavecseseznamem"/>
        <w:numPr>
          <w:ilvl w:val="0"/>
          <w:numId w:val="25"/>
        </w:numPr>
        <w:ind w:right="0"/>
        <w:rPr>
          <w:rFonts w:cstheme="minorHAnsi"/>
        </w:rPr>
      </w:pPr>
      <w:r w:rsidRPr="00B16937">
        <w:rPr>
          <w:rFonts w:cstheme="minorHAnsi"/>
        </w:rPr>
        <w:t xml:space="preserve">Při stavbě celoplošného lešení </w:t>
      </w:r>
      <w:r w:rsidR="00F42C13" w:rsidRPr="00B16937">
        <w:rPr>
          <w:rFonts w:cstheme="minorHAnsi"/>
        </w:rPr>
        <w:t xml:space="preserve">kolem věže Andělka </w:t>
      </w:r>
      <w:r w:rsidR="00361A1E" w:rsidRPr="00B16937">
        <w:rPr>
          <w:rFonts w:cstheme="minorHAnsi"/>
        </w:rPr>
        <w:t xml:space="preserve">bylo </w:t>
      </w:r>
      <w:r w:rsidR="007A621F" w:rsidRPr="00B16937">
        <w:rPr>
          <w:rFonts w:cstheme="minorHAnsi"/>
        </w:rPr>
        <w:t xml:space="preserve">zhotovitelem </w:t>
      </w:r>
      <w:r w:rsidR="00361A1E" w:rsidRPr="00B16937">
        <w:rPr>
          <w:rFonts w:cstheme="minorHAnsi"/>
        </w:rPr>
        <w:t xml:space="preserve">zjištěno, že  </w:t>
      </w:r>
      <w:r w:rsidR="005404AF" w:rsidRPr="00B16937">
        <w:rPr>
          <w:rFonts w:cstheme="minorHAnsi"/>
        </w:rPr>
        <w:t>omítka je ve více plochách určených pro kotvení lešení nestabilní a původní záměr jednoduchého zednického zaprave</w:t>
      </w:r>
      <w:r w:rsidR="00D97843" w:rsidRPr="00B16937">
        <w:rPr>
          <w:rFonts w:cstheme="minorHAnsi"/>
        </w:rPr>
        <w:t xml:space="preserve">ní nebude možné realizovat. </w:t>
      </w:r>
      <w:r w:rsidR="00AA3146" w:rsidRPr="00B16937">
        <w:rPr>
          <w:rFonts w:cstheme="minorHAnsi"/>
        </w:rPr>
        <w:t xml:space="preserve">Z toho důvodu </w:t>
      </w:r>
      <w:r w:rsidR="007A621F" w:rsidRPr="00B16937">
        <w:rPr>
          <w:rFonts w:cstheme="minorHAnsi"/>
        </w:rPr>
        <w:t>projednal zhotovitel s </w:t>
      </w:r>
      <w:r w:rsidR="00AA3146" w:rsidRPr="00B16937">
        <w:rPr>
          <w:rFonts w:cstheme="minorHAnsi"/>
        </w:rPr>
        <w:t>objednatelem</w:t>
      </w:r>
      <w:r w:rsidR="007A621F" w:rsidRPr="00B16937">
        <w:rPr>
          <w:rFonts w:cstheme="minorHAnsi"/>
        </w:rPr>
        <w:t>, v konzultaci se zástupcem orgánu památkové péče,</w:t>
      </w:r>
      <w:r w:rsidR="00AA3146" w:rsidRPr="00B16937">
        <w:rPr>
          <w:rFonts w:cstheme="minorHAnsi"/>
        </w:rPr>
        <w:t xml:space="preserve"> několik variant řešení </w:t>
      </w:r>
      <w:r w:rsidR="008C34C4" w:rsidRPr="00B16937">
        <w:rPr>
          <w:rFonts w:cstheme="minorHAnsi"/>
        </w:rPr>
        <w:t xml:space="preserve">optimální </w:t>
      </w:r>
      <w:r w:rsidR="00AA3146" w:rsidRPr="00B16937">
        <w:rPr>
          <w:rFonts w:cstheme="minorHAnsi"/>
        </w:rPr>
        <w:t xml:space="preserve">opravy obvodového pláště věže, z nichž byla vybrána tzv. úsporná varianta, kdy budou provedeny nezbytné opravy omítek v rozsahu </w:t>
      </w:r>
      <w:r w:rsidR="004E329C" w:rsidRPr="00B16937">
        <w:rPr>
          <w:rFonts w:cstheme="minorHAnsi"/>
        </w:rPr>
        <w:t>max. 5% plochy pláště věže</w:t>
      </w:r>
      <w:r w:rsidR="00F42C13" w:rsidRPr="00B16937">
        <w:rPr>
          <w:rFonts w:cstheme="minorHAnsi"/>
        </w:rPr>
        <w:t xml:space="preserve"> (bez východní dolní části věže, kde je rozsah oprav </w:t>
      </w:r>
      <w:r w:rsidR="002A6BEB">
        <w:rPr>
          <w:rFonts w:cstheme="minorHAnsi"/>
        </w:rPr>
        <w:t>min.</w:t>
      </w:r>
      <w:r w:rsidR="00F42C13" w:rsidRPr="00B16937">
        <w:rPr>
          <w:rFonts w:cstheme="minorHAnsi"/>
        </w:rPr>
        <w:t xml:space="preserve"> </w:t>
      </w:r>
      <w:r w:rsidR="002A6BEB">
        <w:rPr>
          <w:rFonts w:cstheme="minorHAnsi"/>
        </w:rPr>
        <w:t xml:space="preserve">50 </w:t>
      </w:r>
      <w:r w:rsidR="00F42C13" w:rsidRPr="00B16937">
        <w:rPr>
          <w:rFonts w:cstheme="minorHAnsi"/>
        </w:rPr>
        <w:t xml:space="preserve">%, nicméně je přístupná z terénu) </w:t>
      </w:r>
      <w:r w:rsidR="004E329C" w:rsidRPr="00B16937">
        <w:rPr>
          <w:rFonts w:cstheme="minorHAnsi"/>
        </w:rPr>
        <w:t xml:space="preserve"> </w:t>
      </w:r>
      <w:r w:rsidR="00821F72" w:rsidRPr="00B16937">
        <w:rPr>
          <w:rFonts w:cstheme="minorHAnsi"/>
        </w:rPr>
        <w:t xml:space="preserve">a bude proveden </w:t>
      </w:r>
      <w:r w:rsidR="00F42C13" w:rsidRPr="00B16937">
        <w:rPr>
          <w:rFonts w:cstheme="minorHAnsi"/>
        </w:rPr>
        <w:t xml:space="preserve">celoplošný </w:t>
      </w:r>
      <w:r w:rsidR="00821F72" w:rsidRPr="00B16937">
        <w:rPr>
          <w:rFonts w:cstheme="minorHAnsi"/>
        </w:rPr>
        <w:t xml:space="preserve">scelující </w:t>
      </w:r>
      <w:r w:rsidR="007A621F" w:rsidRPr="00B16937">
        <w:rPr>
          <w:rFonts w:cstheme="minorHAnsi"/>
        </w:rPr>
        <w:t xml:space="preserve">stabilizační (penetrační + fixační) </w:t>
      </w:r>
      <w:r w:rsidR="00821F72" w:rsidRPr="00B16937">
        <w:rPr>
          <w:rFonts w:cstheme="minorHAnsi"/>
        </w:rPr>
        <w:t xml:space="preserve">nátěr </w:t>
      </w:r>
      <w:r w:rsidR="007A621F" w:rsidRPr="00B16937">
        <w:rPr>
          <w:rFonts w:cstheme="minorHAnsi"/>
        </w:rPr>
        <w:t>pro barevné sjednocení a zpevnění omítky pláště věže.</w:t>
      </w:r>
      <w:r w:rsidR="00112676" w:rsidRPr="00B16937">
        <w:rPr>
          <w:rFonts w:cstheme="minorHAnsi"/>
        </w:rPr>
        <w:t xml:space="preserve"> Následně podal zástupce objednatele na provedení této varianty opravy pláště věže žádost </w:t>
      </w:r>
      <w:r w:rsidR="00F42C13" w:rsidRPr="00B16937">
        <w:rPr>
          <w:rFonts w:cstheme="minorHAnsi"/>
        </w:rPr>
        <w:t xml:space="preserve">k věcně příslušnému orgánu </w:t>
      </w:r>
      <w:r w:rsidR="00112676" w:rsidRPr="00B16937">
        <w:rPr>
          <w:rFonts w:cstheme="minorHAnsi"/>
        </w:rPr>
        <w:t>o vydání ZS</w:t>
      </w:r>
      <w:r w:rsidR="00F42C13" w:rsidRPr="00B16937">
        <w:rPr>
          <w:rFonts w:cstheme="minorHAnsi"/>
        </w:rPr>
        <w:t>.</w:t>
      </w:r>
      <w:r w:rsidR="00112676" w:rsidRPr="00B16937">
        <w:rPr>
          <w:rFonts w:cstheme="minorHAnsi"/>
        </w:rPr>
        <w:t xml:space="preserve">  </w:t>
      </w:r>
    </w:p>
    <w:p w14:paraId="2B3492BC" w14:textId="77777777" w:rsidR="00B16937" w:rsidRPr="00583238" w:rsidRDefault="00112676" w:rsidP="00B16937">
      <w:pPr>
        <w:pStyle w:val="Odstavecseseznamem"/>
        <w:numPr>
          <w:ilvl w:val="0"/>
          <w:numId w:val="25"/>
        </w:numPr>
        <w:ind w:right="0"/>
        <w:rPr>
          <w:rFonts w:cstheme="minorHAnsi"/>
          <w:spacing w:val="-2"/>
        </w:rPr>
      </w:pPr>
      <w:r w:rsidRPr="00583238">
        <w:rPr>
          <w:rFonts w:cstheme="minorHAnsi"/>
          <w:spacing w:val="-2"/>
        </w:rPr>
        <w:t xml:space="preserve">Krajský úřad Zlínského kraje, odbor kultury a památkové péče (dále jen: „správní orgán“), jako věcně příslušný podle </w:t>
      </w:r>
      <w:proofErr w:type="spellStart"/>
      <w:r w:rsidRPr="00583238">
        <w:rPr>
          <w:rFonts w:cstheme="minorHAnsi"/>
          <w:spacing w:val="-2"/>
        </w:rPr>
        <w:t>ust</w:t>
      </w:r>
      <w:proofErr w:type="spellEnd"/>
      <w:r w:rsidRPr="00583238">
        <w:rPr>
          <w:rFonts w:cstheme="minorHAnsi"/>
          <w:spacing w:val="-2"/>
        </w:rPr>
        <w:t xml:space="preserve">. § 29 odst. 1 zákona č. 129/2000 Sb., o krajích (krajské zřízení), ve znění pozdějších předpisů, podle § 28 odst. 2 písmeno e) zákona č. 20/1987 Sb., o státní památkové péči, ve znění pozdějších předpisů (dále jen: „zákon o státní památkové péči“) a jako místně příslušný správní orgán dle </w:t>
      </w:r>
      <w:proofErr w:type="spellStart"/>
      <w:r w:rsidRPr="00583238">
        <w:rPr>
          <w:rFonts w:cstheme="minorHAnsi"/>
          <w:spacing w:val="-2"/>
        </w:rPr>
        <w:t>ust</w:t>
      </w:r>
      <w:proofErr w:type="spellEnd"/>
      <w:r w:rsidRPr="00583238">
        <w:rPr>
          <w:rFonts w:cstheme="minorHAnsi"/>
          <w:spacing w:val="-2"/>
        </w:rPr>
        <w:t>. § 11 písmeno b) zákona č. 500/2004 Sb., správní řád, ve znění pozdějších předpisů (dále jen: „správní řád“) vydal nicméně k návrhu obnovy uvedenému v předmětné žádosti dne 27. 2. 2023 zamítavé stanovisko (č. j. 21290/2023) s tím, že je při bližším vizuálním průzkumu nezbytné nejprve řádně vymezit rozsah omítek novodobých a historických a dále zjistit nakolik jsou dochovány historické omítky v plochách pod omítkou novodobou (zřejmě z poloviny 90. let 20. století). Dále doporučil  provést materiálový rozbor u omítkových vrstev a až na jeho základě pak zvolit vhodné materiály pro obnovu omítek.</w:t>
      </w:r>
      <w:r w:rsidR="00F42C13" w:rsidRPr="00583238">
        <w:rPr>
          <w:rFonts w:cstheme="minorHAnsi"/>
          <w:spacing w:val="-2"/>
        </w:rPr>
        <w:t xml:space="preserve"> </w:t>
      </w:r>
    </w:p>
    <w:p w14:paraId="04B391F8" w14:textId="7F50BB1E" w:rsidR="00B16937" w:rsidRDefault="00F42C13" w:rsidP="00B16937">
      <w:pPr>
        <w:pStyle w:val="Odstavecseseznamem"/>
        <w:numPr>
          <w:ilvl w:val="0"/>
          <w:numId w:val="25"/>
        </w:numPr>
        <w:ind w:right="0"/>
        <w:rPr>
          <w:rFonts w:cstheme="minorHAnsi"/>
        </w:rPr>
      </w:pPr>
      <w:r w:rsidRPr="00B16937">
        <w:rPr>
          <w:rFonts w:cstheme="minorHAnsi"/>
        </w:rPr>
        <w:t xml:space="preserve">Dne 23. 3. 2023 byl za účasti zástupců vlastníka objektu (NPÚ ÚPS v Kroměříži), NPÚ ÚOP v Kroměříži a OKPP ZK proveden podrobný celoplošný vizuální průzkum stavu vnějších omítek </w:t>
      </w:r>
      <w:r w:rsidR="004017B3">
        <w:rPr>
          <w:rFonts w:cstheme="minorHAnsi"/>
        </w:rPr>
        <w:t xml:space="preserve">vnějšího pláště </w:t>
      </w:r>
      <w:r w:rsidRPr="00B16937">
        <w:rPr>
          <w:rFonts w:cstheme="minorHAnsi"/>
        </w:rPr>
        <w:t xml:space="preserve">věže Andělka. Po </w:t>
      </w:r>
      <w:r w:rsidR="00435A24">
        <w:rPr>
          <w:rFonts w:cstheme="minorHAnsi"/>
        </w:rPr>
        <w:t>průzkumu</w:t>
      </w:r>
      <w:r w:rsidRPr="00B16937">
        <w:rPr>
          <w:rFonts w:cstheme="minorHAnsi"/>
        </w:rPr>
        <w:t xml:space="preserve"> bylo konstatováno, že převážná část plochy fasády je tvořena novodobou, pevnou omítkou, provedenou v 90. letech 20. století. Na některých místech byly ponechány omítky historické, </w:t>
      </w:r>
      <w:r w:rsidR="00583238">
        <w:rPr>
          <w:rFonts w:cstheme="minorHAnsi"/>
        </w:rPr>
        <w:t xml:space="preserve">které vykazují lokální narušení. </w:t>
      </w:r>
      <w:r w:rsidRPr="00B16937">
        <w:rPr>
          <w:rFonts w:cstheme="minorHAnsi"/>
        </w:rPr>
        <w:t>Přímo na místě bylo provedeno zaměření rozsahu ploch historických fasádních omítek a dále byla provedena drobná sondáž, která prokázala, že pod výše zmíněnou</w:t>
      </w:r>
      <w:r w:rsidR="00583238">
        <w:rPr>
          <w:rFonts w:cstheme="minorHAnsi"/>
        </w:rPr>
        <w:t xml:space="preserve"> novodobou omítkou </w:t>
      </w:r>
      <w:r w:rsidRPr="00B16937">
        <w:rPr>
          <w:rFonts w:cstheme="minorHAnsi"/>
        </w:rPr>
        <w:t xml:space="preserve">jsou dochovány další pozůstatky omítky historické. Z výše uvedené prohlídky byl učiněn zápis a výstup z tohoto průzkumu byl použit jako podklad k nové žádosti  o závazné stanovisko (dále také ZS) k obnově fasády věže Andělka. </w:t>
      </w:r>
    </w:p>
    <w:p w14:paraId="5AF8B00B" w14:textId="5C62059F" w:rsidR="0033498C" w:rsidRDefault="00B16937" w:rsidP="00DE70F3">
      <w:pPr>
        <w:pStyle w:val="Odstavecseseznamem"/>
        <w:numPr>
          <w:ilvl w:val="0"/>
          <w:numId w:val="25"/>
        </w:numPr>
        <w:ind w:right="0"/>
        <w:rPr>
          <w:rFonts w:cstheme="minorHAnsi"/>
        </w:rPr>
      </w:pPr>
      <w:r>
        <w:rPr>
          <w:rFonts w:cstheme="minorHAnsi"/>
        </w:rPr>
        <w:t xml:space="preserve">Hlavní změny oproti původnímu </w:t>
      </w:r>
      <w:r w:rsidR="00E8724C">
        <w:rPr>
          <w:rFonts w:cstheme="minorHAnsi"/>
        </w:rPr>
        <w:t>záměru</w:t>
      </w:r>
      <w:r>
        <w:rPr>
          <w:rFonts w:cstheme="minorHAnsi"/>
        </w:rPr>
        <w:t xml:space="preserve"> spočívají především v neprovedení celoplošného stabilizačního nátěru, ale lokální konsolidaci ploch historických omítek prostředkem na bázi </w:t>
      </w:r>
      <w:proofErr w:type="spellStart"/>
      <w:r>
        <w:rPr>
          <w:rFonts w:cstheme="minorHAnsi"/>
        </w:rPr>
        <w:t>organokřemičitanů</w:t>
      </w:r>
      <w:proofErr w:type="spellEnd"/>
      <w:r>
        <w:rPr>
          <w:rFonts w:cstheme="minorHAnsi"/>
        </w:rPr>
        <w:t xml:space="preserve"> a lokálních opravách plošného poškození a prasklin novodobých omítek a to v celé ploše </w:t>
      </w:r>
      <w:r w:rsidR="00435A24">
        <w:rPr>
          <w:rFonts w:cstheme="minorHAnsi"/>
        </w:rPr>
        <w:t xml:space="preserve">pláště </w:t>
      </w:r>
      <w:r>
        <w:rPr>
          <w:rFonts w:cstheme="minorHAnsi"/>
        </w:rPr>
        <w:t>věže, tj. včetně východní dolní části věže.</w:t>
      </w:r>
    </w:p>
    <w:p w14:paraId="377E880B" w14:textId="77777777" w:rsidR="00DE70F3" w:rsidRPr="0033498C" w:rsidRDefault="00DE70F3" w:rsidP="00DE70F3">
      <w:pPr>
        <w:pStyle w:val="Odstavecseseznamem"/>
        <w:ind w:left="357" w:right="0" w:firstLine="0"/>
        <w:rPr>
          <w:rFonts w:cstheme="minorHAnsi"/>
        </w:rPr>
      </w:pPr>
    </w:p>
    <w:p w14:paraId="170409AA" w14:textId="3D9BD5F7" w:rsidR="007F26E4" w:rsidRPr="003151E8" w:rsidRDefault="008E7D14" w:rsidP="007F26E4">
      <w:pPr>
        <w:ind w:left="0" w:right="0" w:firstLine="0"/>
        <w:rPr>
          <w:rFonts w:cstheme="minorHAnsi"/>
          <w:u w:val="single"/>
        </w:rPr>
      </w:pPr>
      <w:r>
        <w:rPr>
          <w:rFonts w:cstheme="minorHAnsi"/>
          <w:u w:val="single"/>
        </w:rPr>
        <w:t xml:space="preserve">Objednatel </w:t>
      </w:r>
      <w:r w:rsidR="007F26E4" w:rsidRPr="003151E8">
        <w:rPr>
          <w:rFonts w:cstheme="minorHAnsi"/>
          <w:u w:val="single"/>
        </w:rPr>
        <w:t>tyto nalezené skutečnosti nem</w:t>
      </w:r>
      <w:r w:rsidR="007F26E4">
        <w:rPr>
          <w:rFonts w:cstheme="minorHAnsi"/>
          <w:u w:val="single"/>
        </w:rPr>
        <w:t xml:space="preserve">ohl dopředu předvídat a </w:t>
      </w:r>
      <w:r w:rsidR="0033498C">
        <w:rPr>
          <w:rFonts w:cstheme="minorHAnsi"/>
          <w:u w:val="single"/>
        </w:rPr>
        <w:t xml:space="preserve">byly zjištěny až při podrobném </w:t>
      </w:r>
      <w:r w:rsidR="00435A24">
        <w:rPr>
          <w:rFonts w:cstheme="minorHAnsi"/>
          <w:u w:val="single"/>
        </w:rPr>
        <w:t xml:space="preserve">a </w:t>
      </w:r>
      <w:r w:rsidR="0033498C">
        <w:rPr>
          <w:rFonts w:cstheme="minorHAnsi"/>
          <w:u w:val="single"/>
        </w:rPr>
        <w:t xml:space="preserve">destruktivním průzkumu. </w:t>
      </w:r>
    </w:p>
    <w:p w14:paraId="616657B2" w14:textId="687E402D" w:rsidR="009317BC" w:rsidRPr="003151E8" w:rsidRDefault="009317BC" w:rsidP="000352DF">
      <w:pPr>
        <w:ind w:left="0" w:firstLine="0"/>
        <w:rPr>
          <w:rFonts w:cstheme="minorHAnsi"/>
        </w:rPr>
      </w:pPr>
    </w:p>
    <w:p w14:paraId="2E3F4372" w14:textId="1A417A19" w:rsidR="002048FC" w:rsidRPr="003151E8" w:rsidRDefault="002048FC" w:rsidP="002048FC">
      <w:pPr>
        <w:rPr>
          <w:rFonts w:cstheme="minorHAnsi"/>
          <w:b/>
          <w:u w:val="dotted"/>
        </w:rPr>
      </w:pPr>
      <w:r w:rsidRPr="003151E8">
        <w:rPr>
          <w:rFonts w:cstheme="minorHAnsi"/>
          <w:b/>
          <w:u w:val="dotted"/>
        </w:rPr>
        <w:t>1.</w:t>
      </w:r>
      <w:r w:rsidR="0075291B">
        <w:rPr>
          <w:rFonts w:cstheme="minorHAnsi"/>
          <w:b/>
          <w:u w:val="dotted"/>
        </w:rPr>
        <w:t>2</w:t>
      </w:r>
      <w:r w:rsidRPr="003151E8">
        <w:rPr>
          <w:rFonts w:cstheme="minorHAnsi"/>
          <w:b/>
          <w:u w:val="dotted"/>
        </w:rPr>
        <w:t>. Zdůvodnění nemožnosti oddělení prací a samostatného zadání:</w:t>
      </w:r>
    </w:p>
    <w:p w14:paraId="4C0B48F3" w14:textId="26E3E8C1" w:rsidR="00282EB4" w:rsidRPr="003151E8" w:rsidRDefault="00AF1377" w:rsidP="00802843">
      <w:pPr>
        <w:pStyle w:val="Odstavecseseznamem"/>
        <w:numPr>
          <w:ilvl w:val="0"/>
          <w:numId w:val="10"/>
        </w:numPr>
        <w:ind w:left="851" w:right="0" w:hanging="284"/>
        <w:rPr>
          <w:rFonts w:cstheme="minorHAnsi"/>
        </w:rPr>
      </w:pPr>
      <w:r w:rsidRPr="003151E8">
        <w:rPr>
          <w:rFonts w:cstheme="minorHAnsi"/>
        </w:rPr>
        <w:t xml:space="preserve">výše </w:t>
      </w:r>
      <w:r w:rsidR="00942B27" w:rsidRPr="003151E8">
        <w:rPr>
          <w:rFonts w:cstheme="minorHAnsi"/>
        </w:rPr>
        <w:t xml:space="preserve">popsané změny </w:t>
      </w:r>
      <w:r w:rsidRPr="003151E8">
        <w:rPr>
          <w:rFonts w:cstheme="minorHAnsi"/>
        </w:rPr>
        <w:t xml:space="preserve">nebylo možné zjistit </w:t>
      </w:r>
      <w:r w:rsidR="00435A24">
        <w:rPr>
          <w:rFonts w:cstheme="minorHAnsi"/>
        </w:rPr>
        <w:t>do doby skutečného provádění a podrobného průzkumu</w:t>
      </w:r>
      <w:r w:rsidRPr="003151E8">
        <w:rPr>
          <w:rFonts w:cstheme="minorHAnsi"/>
        </w:rPr>
        <w:t xml:space="preserve"> konstrukc</w:t>
      </w:r>
      <w:r w:rsidR="00282EB4" w:rsidRPr="003151E8">
        <w:rPr>
          <w:rFonts w:cstheme="minorHAnsi"/>
        </w:rPr>
        <w:t>í a přímo souvisí s činnostmi, které dodavatel stavby</w:t>
      </w:r>
      <w:r w:rsidR="00CD2377" w:rsidRPr="003151E8">
        <w:rPr>
          <w:rFonts w:cstheme="minorHAnsi"/>
        </w:rPr>
        <w:t xml:space="preserve"> v současnosti provádí</w:t>
      </w:r>
      <w:r w:rsidR="00F622AC" w:rsidRPr="003151E8">
        <w:rPr>
          <w:rFonts w:cstheme="minorHAnsi"/>
        </w:rPr>
        <w:t>;</w:t>
      </w:r>
    </w:p>
    <w:p w14:paraId="67FA78A1" w14:textId="77777777" w:rsidR="00942B27" w:rsidRPr="003151E8" w:rsidRDefault="00282EB4" w:rsidP="00802843">
      <w:pPr>
        <w:pStyle w:val="Odstavecseseznamem"/>
        <w:numPr>
          <w:ilvl w:val="0"/>
          <w:numId w:val="10"/>
        </w:numPr>
        <w:ind w:left="851" w:right="0" w:hanging="284"/>
        <w:rPr>
          <w:rFonts w:cstheme="minorHAnsi"/>
        </w:rPr>
      </w:pPr>
      <w:r w:rsidRPr="003151E8">
        <w:rPr>
          <w:rFonts w:cstheme="minorHAnsi"/>
        </w:rPr>
        <w:lastRenderedPageBreak/>
        <w:t xml:space="preserve">z hlediska pokračování i dokončení prací </w:t>
      </w:r>
      <w:r w:rsidR="00E23BF9" w:rsidRPr="003151E8">
        <w:rPr>
          <w:rFonts w:cstheme="minorHAnsi"/>
        </w:rPr>
        <w:t>n</w:t>
      </w:r>
      <w:r w:rsidR="007444FD" w:rsidRPr="003151E8">
        <w:rPr>
          <w:rFonts w:cstheme="minorHAnsi"/>
        </w:rPr>
        <w:t>ení možné</w:t>
      </w:r>
      <w:r w:rsidRPr="003151E8">
        <w:rPr>
          <w:rFonts w:cstheme="minorHAnsi"/>
        </w:rPr>
        <w:t xml:space="preserve"> </w:t>
      </w:r>
      <w:r w:rsidR="00E23BF9" w:rsidRPr="003151E8">
        <w:rPr>
          <w:rFonts w:cstheme="minorHAnsi"/>
        </w:rPr>
        <w:t>tyto dodatečné stavební práce</w:t>
      </w:r>
      <w:r w:rsidRPr="003151E8">
        <w:rPr>
          <w:rFonts w:cstheme="minorHAnsi"/>
        </w:rPr>
        <w:t xml:space="preserve"> technicky ani ekonomicky oddělit od původní VZ</w:t>
      </w:r>
      <w:r w:rsidR="00F622AC" w:rsidRPr="003151E8">
        <w:rPr>
          <w:rFonts w:cstheme="minorHAnsi"/>
        </w:rPr>
        <w:t>;</w:t>
      </w:r>
    </w:p>
    <w:p w14:paraId="0EF296FA" w14:textId="2D894628" w:rsidR="00282EB4" w:rsidRDefault="00282EB4" w:rsidP="00802843">
      <w:pPr>
        <w:pStyle w:val="Odstavecseseznamem"/>
        <w:numPr>
          <w:ilvl w:val="0"/>
          <w:numId w:val="10"/>
        </w:numPr>
        <w:ind w:left="851" w:right="0" w:hanging="284"/>
        <w:rPr>
          <w:rFonts w:cstheme="minorHAnsi"/>
        </w:rPr>
      </w:pPr>
      <w:r w:rsidRPr="003151E8">
        <w:rPr>
          <w:rFonts w:cstheme="minorHAnsi"/>
        </w:rPr>
        <w:t xml:space="preserve">oddělení prací </w:t>
      </w:r>
      <w:r w:rsidR="00277F4D">
        <w:rPr>
          <w:rFonts w:cstheme="minorHAnsi"/>
        </w:rPr>
        <w:t xml:space="preserve">a samostatné zadání </w:t>
      </w:r>
      <w:r w:rsidR="00D1342B" w:rsidRPr="003151E8">
        <w:rPr>
          <w:rFonts w:cstheme="minorHAnsi"/>
        </w:rPr>
        <w:t xml:space="preserve">by </w:t>
      </w:r>
      <w:r w:rsidR="00277F4D">
        <w:rPr>
          <w:rFonts w:cstheme="minorHAnsi"/>
        </w:rPr>
        <w:t xml:space="preserve">bylo výrazně nevýhodné </w:t>
      </w:r>
      <w:r w:rsidR="00F4646F">
        <w:rPr>
          <w:rFonts w:cstheme="minorHAnsi"/>
        </w:rPr>
        <w:t xml:space="preserve">také </w:t>
      </w:r>
      <w:r w:rsidR="00D1342B" w:rsidRPr="003151E8">
        <w:rPr>
          <w:rFonts w:cstheme="minorHAnsi"/>
        </w:rPr>
        <w:t>z ekonomického hlediska</w:t>
      </w:r>
      <w:r w:rsidR="00F4646F">
        <w:rPr>
          <w:rFonts w:cstheme="minorHAnsi"/>
        </w:rPr>
        <w:t>.</w:t>
      </w:r>
    </w:p>
    <w:p w14:paraId="06554B2B" w14:textId="77777777" w:rsidR="00EB3477" w:rsidRDefault="00EB3477" w:rsidP="00EB3477">
      <w:pPr>
        <w:pStyle w:val="Odstavecseseznamem"/>
        <w:ind w:left="851" w:right="0" w:firstLine="0"/>
        <w:rPr>
          <w:rFonts w:cstheme="minorHAnsi"/>
        </w:rPr>
      </w:pPr>
    </w:p>
    <w:p w14:paraId="15179654" w14:textId="5A117F47" w:rsidR="00EB3477" w:rsidRPr="00EB3477" w:rsidRDefault="00EB3477" w:rsidP="00EB3477">
      <w:pPr>
        <w:spacing w:after="120"/>
        <w:ind w:left="142" w:right="0" w:firstLine="0"/>
        <w:rPr>
          <w:rFonts w:cstheme="minorHAnsi"/>
          <w:b/>
          <w:u w:val="dotted"/>
        </w:rPr>
      </w:pPr>
      <w:r w:rsidRPr="00EB3477">
        <w:rPr>
          <w:rFonts w:cstheme="minorHAnsi"/>
          <w:b/>
          <w:u w:val="dotted"/>
        </w:rPr>
        <w:t>1.</w:t>
      </w:r>
      <w:r>
        <w:rPr>
          <w:rFonts w:cstheme="minorHAnsi"/>
          <w:b/>
          <w:u w:val="dotted"/>
        </w:rPr>
        <w:t>3</w:t>
      </w:r>
      <w:r w:rsidRPr="00EB3477">
        <w:rPr>
          <w:rFonts w:cstheme="minorHAnsi"/>
          <w:b/>
          <w:u w:val="dotted"/>
        </w:rPr>
        <w:t>. Vliv na termín dokončení</w:t>
      </w:r>
    </w:p>
    <w:p w14:paraId="7CF57335" w14:textId="6B712FDC" w:rsidR="008D2305" w:rsidRPr="00DE70F3" w:rsidRDefault="00EB3477" w:rsidP="00DE70F3">
      <w:pPr>
        <w:numPr>
          <w:ilvl w:val="0"/>
          <w:numId w:val="10"/>
        </w:numPr>
        <w:ind w:left="499" w:right="0" w:hanging="357"/>
        <w:rPr>
          <w:rFonts w:cs="Palatino Linotype"/>
          <w:color w:val="000000"/>
        </w:rPr>
      </w:pPr>
      <w:r w:rsidRPr="00DE70F3">
        <w:t xml:space="preserve">S ohledem na zákonnou povinnost vlastníka národní kulturní památky, který zamýšlí provést údržbu, opravu, rekonstrukci, restaurování nebo jinou úpravu kulturní památky nebo jejího prostředí, vyžádat si předem závazné stanovisko příslušného krajského úřadu (§14 zákona číslo 20/1987 Sb., o státní památkové péči, v znění pozdějších předpisů) a s ohledem na dobu nezbytnou pro administraci celého procesu pro vydání závazného stanoviska krajského úřadu </w:t>
      </w:r>
      <w:r w:rsidR="00DE70F3" w:rsidRPr="00DE70F3">
        <w:t xml:space="preserve">vyvolává tato změna potřebu posunutí </w:t>
      </w:r>
      <w:r w:rsidRPr="00DE70F3">
        <w:t xml:space="preserve"> </w:t>
      </w:r>
      <w:r w:rsidR="00DE70F3" w:rsidRPr="00DE70F3">
        <w:t>t</w:t>
      </w:r>
      <w:r w:rsidRPr="00DE70F3">
        <w:t>ermín</w:t>
      </w:r>
      <w:r w:rsidR="00DE70F3" w:rsidRPr="00DE70F3">
        <w:t>u</w:t>
      </w:r>
      <w:r w:rsidRPr="00DE70F3">
        <w:t xml:space="preserve"> protokolárního předání díla bez vad a nedodělků</w:t>
      </w:r>
      <w:r w:rsidR="00DE70F3" w:rsidRPr="00DE70F3">
        <w:t xml:space="preserve"> o dva měsíce, tj. na </w:t>
      </w:r>
      <w:r w:rsidRPr="00DE70F3">
        <w:t>30. 6. 2023.</w:t>
      </w:r>
      <w:r w:rsidR="00AF1377" w:rsidRPr="00DE70F3">
        <w:rPr>
          <w:rFonts w:cstheme="minorHAnsi"/>
        </w:rPr>
        <w:tab/>
      </w:r>
    </w:p>
    <w:p w14:paraId="7045F89D" w14:textId="77777777" w:rsidR="00DE70F3" w:rsidRPr="00DE70F3" w:rsidRDefault="00DE70F3" w:rsidP="00DE70F3">
      <w:pPr>
        <w:ind w:left="499" w:right="0" w:firstLine="0"/>
        <w:rPr>
          <w:rFonts w:cs="Palatino Linotype"/>
          <w:color w:val="000000"/>
        </w:rPr>
      </w:pPr>
    </w:p>
    <w:p w14:paraId="2D01738C" w14:textId="5C4C5589" w:rsidR="0012396E" w:rsidRPr="003151E8" w:rsidRDefault="00277F4D" w:rsidP="004720E0">
      <w:pPr>
        <w:spacing w:after="120"/>
        <w:ind w:left="0" w:right="0" w:firstLine="0"/>
        <w:rPr>
          <w:rFonts w:cstheme="minorHAnsi"/>
          <w:b/>
          <w:u w:val="single"/>
        </w:rPr>
      </w:pPr>
      <w:r>
        <w:rPr>
          <w:rFonts w:cstheme="minorHAnsi"/>
          <w:b/>
          <w:u w:val="single"/>
        </w:rPr>
        <w:t>2</w:t>
      </w:r>
      <w:r w:rsidR="00F53330" w:rsidRPr="003151E8">
        <w:rPr>
          <w:rFonts w:cstheme="minorHAnsi"/>
          <w:b/>
          <w:u w:val="single"/>
        </w:rPr>
        <w:t>. Odkaz na § 222 ZZVZ:</w:t>
      </w:r>
    </w:p>
    <w:p w14:paraId="5D6F96CA" w14:textId="6EBB1F3C" w:rsidR="00882460" w:rsidRPr="003151E8" w:rsidRDefault="00015A64" w:rsidP="00882460">
      <w:pPr>
        <w:ind w:left="0" w:right="0" w:firstLine="0"/>
        <w:rPr>
          <w:rFonts w:cstheme="minorHAnsi"/>
        </w:rPr>
      </w:pPr>
      <w:r w:rsidRPr="003151E8">
        <w:rPr>
          <w:rFonts w:cstheme="minorHAnsi"/>
        </w:rPr>
        <w:t xml:space="preserve">Předmětné práce nejsou ve smyslu zákona č. 134/2016 Sb., §222 odst. 6 podstatnou změnou zakázky. Změna vychází z nálezových situací, které objednatel nemohl posoudit do doby skutečného rozkrytí konstrukcí. </w:t>
      </w:r>
      <w:r w:rsidR="00583238" w:rsidRPr="00CB4F90">
        <w:rPr>
          <w:rFonts w:cstheme="minorHAnsi"/>
        </w:rPr>
        <w:t xml:space="preserve">Hodnota změny související se všemi změnami díla dle tohoto odst.  je ve výši </w:t>
      </w:r>
      <w:r w:rsidR="00631380" w:rsidRPr="00CB4F90">
        <w:rPr>
          <w:rFonts w:cstheme="minorHAnsi"/>
        </w:rPr>
        <w:t>40,43</w:t>
      </w:r>
      <w:r w:rsidR="00583238" w:rsidRPr="00CB4F90">
        <w:rPr>
          <w:rFonts w:cstheme="minorHAnsi"/>
        </w:rPr>
        <w:t xml:space="preserve"> % původní hodnoty zakázky</w:t>
      </w:r>
      <w:r w:rsidRPr="00CB4F90">
        <w:rPr>
          <w:rFonts w:cstheme="minorHAnsi"/>
        </w:rPr>
        <w:t xml:space="preserve">. </w:t>
      </w:r>
      <w:r w:rsidR="00882460" w:rsidRPr="00CB4F90">
        <w:rPr>
          <w:rFonts w:cstheme="minorHAnsi"/>
        </w:rPr>
        <w:t xml:space="preserve">Celkový cenový nárůst související se všemi změnami díla je ve výši </w:t>
      </w:r>
      <w:r w:rsidR="00631380" w:rsidRPr="00CB4F90">
        <w:rPr>
          <w:rFonts w:cstheme="minorHAnsi"/>
        </w:rPr>
        <w:t>18,29</w:t>
      </w:r>
      <w:r w:rsidR="00882460" w:rsidRPr="00CB4F90">
        <w:rPr>
          <w:rFonts w:cstheme="minorHAnsi"/>
        </w:rPr>
        <w:t xml:space="preserve"> % původní hodnoty veřejné zakázky.</w:t>
      </w:r>
    </w:p>
    <w:p w14:paraId="39EE2FD4" w14:textId="77777777" w:rsidR="00015A64" w:rsidRPr="003151E8" w:rsidRDefault="00015A64" w:rsidP="00F53330">
      <w:pPr>
        <w:ind w:left="0" w:right="0" w:firstLine="0"/>
        <w:rPr>
          <w:rFonts w:cstheme="minorHAnsi"/>
        </w:rPr>
      </w:pPr>
    </w:p>
    <w:p w14:paraId="01ADB468" w14:textId="0B807342" w:rsidR="002C4B51" w:rsidRPr="003151E8" w:rsidRDefault="00155BA4" w:rsidP="002C4B51">
      <w:pPr>
        <w:ind w:left="0" w:right="0" w:firstLine="0"/>
        <w:rPr>
          <w:rFonts w:cstheme="minorHAnsi"/>
          <w:b/>
          <w:u w:val="single"/>
        </w:rPr>
      </w:pPr>
      <w:r>
        <w:rPr>
          <w:rFonts w:cstheme="minorHAnsi"/>
          <w:b/>
          <w:u w:val="single"/>
        </w:rPr>
        <w:t>3</w:t>
      </w:r>
      <w:r w:rsidR="002C4B51" w:rsidRPr="003151E8">
        <w:rPr>
          <w:rFonts w:cstheme="minorHAnsi"/>
          <w:b/>
          <w:u w:val="single"/>
        </w:rPr>
        <w:t>. Rekapitulace nákladů:</w:t>
      </w:r>
    </w:p>
    <w:p w14:paraId="0242F11D" w14:textId="3627CA3A" w:rsidR="002C4B51" w:rsidRDefault="002C4B51" w:rsidP="00155BA4">
      <w:pPr>
        <w:spacing w:after="120"/>
        <w:ind w:left="0" w:right="0" w:firstLine="0"/>
        <w:rPr>
          <w:rFonts w:cstheme="minorHAnsi"/>
        </w:rPr>
      </w:pPr>
      <w:r w:rsidRPr="003151E8">
        <w:rPr>
          <w:rFonts w:cstheme="minorHAnsi"/>
        </w:rPr>
        <w:t xml:space="preserve">Změna ovlivní cenu díla, cena díla bude zvýšena oproti </w:t>
      </w:r>
      <w:proofErr w:type="gramStart"/>
      <w:r w:rsidRPr="003151E8">
        <w:rPr>
          <w:rFonts w:cstheme="minorHAnsi"/>
        </w:rPr>
        <w:t>SOD</w:t>
      </w:r>
      <w:proofErr w:type="gramEnd"/>
      <w:r w:rsidRPr="003151E8">
        <w:rPr>
          <w:rFonts w:cstheme="minorHAnsi"/>
        </w:rPr>
        <w:t>:</w:t>
      </w:r>
    </w:p>
    <w:p w14:paraId="366D4362" w14:textId="73B35872" w:rsidR="00913A00" w:rsidRDefault="00913A00" w:rsidP="00E07E12">
      <w:pPr>
        <w:ind w:left="0" w:right="0" w:firstLine="0"/>
        <w:rPr>
          <w:rFonts w:cstheme="minorHAnsi"/>
        </w:rPr>
      </w:pPr>
    </w:p>
    <w:tbl>
      <w:tblPr>
        <w:tblStyle w:val="Mkatabulky"/>
        <w:tblW w:w="9661" w:type="dxa"/>
        <w:tblLook w:val="04A0" w:firstRow="1" w:lastRow="0" w:firstColumn="1" w:lastColumn="0" w:noHBand="0" w:noVBand="1"/>
      </w:tblPr>
      <w:tblGrid>
        <w:gridCol w:w="4076"/>
        <w:gridCol w:w="2792"/>
        <w:gridCol w:w="2793"/>
      </w:tblGrid>
      <w:tr w:rsidR="00057CDA" w:rsidRPr="003151E8" w14:paraId="78C875E8" w14:textId="77777777" w:rsidTr="00057CDA">
        <w:trPr>
          <w:trHeight w:val="266"/>
        </w:trPr>
        <w:tc>
          <w:tcPr>
            <w:tcW w:w="4076" w:type="dxa"/>
            <w:tcBorders>
              <w:top w:val="single" w:sz="4" w:space="0" w:color="auto"/>
              <w:left w:val="single" w:sz="4" w:space="0" w:color="auto"/>
              <w:bottom w:val="single" w:sz="4" w:space="0" w:color="auto"/>
              <w:right w:val="single" w:sz="4" w:space="0" w:color="auto"/>
            </w:tcBorders>
            <w:hideMark/>
          </w:tcPr>
          <w:p w14:paraId="45C33242" w14:textId="77777777" w:rsidR="00057CDA" w:rsidRPr="003151E8" w:rsidRDefault="00057CDA" w:rsidP="00EC3785">
            <w:pPr>
              <w:ind w:left="0" w:right="0" w:firstLine="0"/>
              <w:rPr>
                <w:rFonts w:cstheme="minorHAnsi"/>
                <w:b/>
              </w:rPr>
            </w:pPr>
            <w:r w:rsidRPr="003151E8">
              <w:rPr>
                <w:rFonts w:cstheme="minorHAnsi"/>
                <w:b/>
              </w:rPr>
              <w:t>Popis</w:t>
            </w:r>
          </w:p>
        </w:tc>
        <w:tc>
          <w:tcPr>
            <w:tcW w:w="2792" w:type="dxa"/>
            <w:tcBorders>
              <w:top w:val="single" w:sz="4" w:space="0" w:color="auto"/>
              <w:left w:val="single" w:sz="4" w:space="0" w:color="auto"/>
              <w:bottom w:val="single" w:sz="4" w:space="0" w:color="auto"/>
              <w:right w:val="single" w:sz="4" w:space="0" w:color="auto"/>
            </w:tcBorders>
            <w:hideMark/>
          </w:tcPr>
          <w:p w14:paraId="6C6BECE9" w14:textId="77777777" w:rsidR="00057CDA" w:rsidRPr="003151E8" w:rsidRDefault="00057CDA" w:rsidP="00EC3785">
            <w:pPr>
              <w:ind w:left="0" w:right="0" w:firstLine="0"/>
              <w:jc w:val="center"/>
              <w:rPr>
                <w:rFonts w:cstheme="minorHAnsi"/>
                <w:b/>
              </w:rPr>
            </w:pPr>
            <w:r w:rsidRPr="003151E8">
              <w:rPr>
                <w:rFonts w:cstheme="minorHAnsi"/>
                <w:b/>
              </w:rPr>
              <w:t>Kč (bez DPH)</w:t>
            </w:r>
          </w:p>
        </w:tc>
        <w:tc>
          <w:tcPr>
            <w:tcW w:w="2793" w:type="dxa"/>
            <w:tcBorders>
              <w:top w:val="single" w:sz="4" w:space="0" w:color="auto"/>
              <w:left w:val="single" w:sz="4" w:space="0" w:color="auto"/>
              <w:bottom w:val="single" w:sz="4" w:space="0" w:color="auto"/>
              <w:right w:val="single" w:sz="4" w:space="0" w:color="auto"/>
            </w:tcBorders>
            <w:hideMark/>
          </w:tcPr>
          <w:p w14:paraId="036C9CCF" w14:textId="77777777" w:rsidR="00057CDA" w:rsidRPr="003151E8" w:rsidRDefault="00057CDA" w:rsidP="00EC3785">
            <w:pPr>
              <w:ind w:left="0" w:right="0" w:firstLine="0"/>
              <w:jc w:val="center"/>
              <w:rPr>
                <w:rFonts w:cstheme="minorHAnsi"/>
                <w:b/>
              </w:rPr>
            </w:pPr>
            <w:r w:rsidRPr="003151E8">
              <w:rPr>
                <w:rFonts w:cstheme="minorHAnsi"/>
                <w:b/>
              </w:rPr>
              <w:t>Kč (s 21 % DPH)</w:t>
            </w:r>
          </w:p>
        </w:tc>
      </w:tr>
      <w:tr w:rsidR="00057CDA" w:rsidRPr="003151E8" w14:paraId="751199CD" w14:textId="77777777" w:rsidTr="00057CDA">
        <w:trPr>
          <w:trHeight w:val="251"/>
        </w:trPr>
        <w:tc>
          <w:tcPr>
            <w:tcW w:w="4076" w:type="dxa"/>
            <w:tcBorders>
              <w:top w:val="single" w:sz="4" w:space="0" w:color="auto"/>
              <w:left w:val="single" w:sz="4" w:space="0" w:color="auto"/>
              <w:bottom w:val="single" w:sz="4" w:space="0" w:color="auto"/>
              <w:right w:val="single" w:sz="4" w:space="0" w:color="auto"/>
            </w:tcBorders>
          </w:tcPr>
          <w:p w14:paraId="3D6034C6" w14:textId="77777777" w:rsidR="00057CDA" w:rsidRPr="003151E8" w:rsidRDefault="00057CDA" w:rsidP="00057CDA">
            <w:pPr>
              <w:ind w:left="0" w:right="0" w:firstLine="0"/>
              <w:rPr>
                <w:rFonts w:cstheme="minorHAnsi"/>
              </w:rPr>
            </w:pPr>
            <w:r w:rsidRPr="003151E8">
              <w:rPr>
                <w:rFonts w:cstheme="minorHAnsi"/>
              </w:rPr>
              <w:t>Celková cena dle SOD</w:t>
            </w:r>
          </w:p>
        </w:tc>
        <w:tc>
          <w:tcPr>
            <w:tcW w:w="2792" w:type="dxa"/>
            <w:tcBorders>
              <w:top w:val="single" w:sz="4" w:space="0" w:color="auto"/>
              <w:left w:val="single" w:sz="4" w:space="0" w:color="auto"/>
              <w:bottom w:val="single" w:sz="4" w:space="0" w:color="auto"/>
              <w:right w:val="single" w:sz="4" w:space="0" w:color="auto"/>
            </w:tcBorders>
          </w:tcPr>
          <w:p w14:paraId="2ED5748F" w14:textId="368D4ABC" w:rsidR="00057CDA" w:rsidRPr="003151E8" w:rsidRDefault="00057CDA" w:rsidP="00057CDA">
            <w:pPr>
              <w:ind w:left="0" w:right="0" w:firstLine="0"/>
              <w:jc w:val="center"/>
              <w:rPr>
                <w:rFonts w:cstheme="minorHAnsi"/>
              </w:rPr>
            </w:pPr>
            <w:r>
              <w:rPr>
                <w:rFonts w:cstheme="minorHAnsi"/>
              </w:rPr>
              <w:t>1 552 363,91</w:t>
            </w:r>
          </w:p>
        </w:tc>
        <w:tc>
          <w:tcPr>
            <w:tcW w:w="2793" w:type="dxa"/>
            <w:tcBorders>
              <w:top w:val="single" w:sz="4" w:space="0" w:color="auto"/>
              <w:left w:val="single" w:sz="4" w:space="0" w:color="auto"/>
              <w:bottom w:val="single" w:sz="4" w:space="0" w:color="auto"/>
              <w:right w:val="single" w:sz="4" w:space="0" w:color="auto"/>
            </w:tcBorders>
          </w:tcPr>
          <w:p w14:paraId="4DE5699D" w14:textId="692F46BD" w:rsidR="00057CDA" w:rsidRPr="003151E8" w:rsidRDefault="00057CDA" w:rsidP="00057CDA">
            <w:pPr>
              <w:ind w:left="0" w:right="0" w:firstLine="0"/>
              <w:jc w:val="center"/>
              <w:rPr>
                <w:rFonts w:cstheme="minorHAnsi"/>
              </w:rPr>
            </w:pPr>
            <w:r>
              <w:rPr>
                <w:rFonts w:cstheme="minorHAnsi"/>
              </w:rPr>
              <w:t>1 878 360,33</w:t>
            </w:r>
          </w:p>
        </w:tc>
      </w:tr>
      <w:tr w:rsidR="00057CDA" w:rsidRPr="00E87DEE" w14:paraId="4F9F82BA" w14:textId="77777777" w:rsidTr="00057CDA">
        <w:trPr>
          <w:trHeight w:val="266"/>
        </w:trPr>
        <w:tc>
          <w:tcPr>
            <w:tcW w:w="4076" w:type="dxa"/>
            <w:tcBorders>
              <w:top w:val="single" w:sz="4" w:space="0" w:color="auto"/>
              <w:left w:val="single" w:sz="4" w:space="0" w:color="auto"/>
              <w:bottom w:val="single" w:sz="4" w:space="0" w:color="auto"/>
              <w:right w:val="single" w:sz="4" w:space="0" w:color="auto"/>
            </w:tcBorders>
          </w:tcPr>
          <w:p w14:paraId="3F4651A6" w14:textId="77777777" w:rsidR="00057CDA" w:rsidRPr="003151E8" w:rsidRDefault="00057CDA" w:rsidP="00057CDA">
            <w:pPr>
              <w:ind w:left="0" w:right="0" w:firstLine="0"/>
              <w:rPr>
                <w:rFonts w:cstheme="minorHAnsi"/>
              </w:rPr>
            </w:pPr>
            <w:r>
              <w:rPr>
                <w:rFonts w:cstheme="minorHAnsi"/>
              </w:rPr>
              <w:t>celková cena po zahrnutí dosavadních ZL</w:t>
            </w:r>
          </w:p>
        </w:tc>
        <w:tc>
          <w:tcPr>
            <w:tcW w:w="2792" w:type="dxa"/>
            <w:tcBorders>
              <w:top w:val="single" w:sz="4" w:space="0" w:color="auto"/>
              <w:left w:val="single" w:sz="4" w:space="0" w:color="auto"/>
              <w:bottom w:val="single" w:sz="4" w:space="0" w:color="auto"/>
              <w:right w:val="single" w:sz="4" w:space="0" w:color="auto"/>
            </w:tcBorders>
            <w:vAlign w:val="center"/>
          </w:tcPr>
          <w:p w14:paraId="07B710AB" w14:textId="2E3D1766" w:rsidR="00057CDA" w:rsidRPr="00057CDA" w:rsidRDefault="00057CDA" w:rsidP="00057CDA">
            <w:pPr>
              <w:ind w:left="0" w:right="0" w:firstLine="0"/>
              <w:jc w:val="center"/>
              <w:rPr>
                <w:rFonts w:cstheme="minorHAnsi"/>
              </w:rPr>
            </w:pPr>
            <w:r w:rsidRPr="00057CDA">
              <w:rPr>
                <w:rFonts w:cstheme="minorHAnsi"/>
              </w:rPr>
              <w:t>1 836 283,22</w:t>
            </w:r>
          </w:p>
        </w:tc>
        <w:tc>
          <w:tcPr>
            <w:tcW w:w="2793" w:type="dxa"/>
            <w:tcBorders>
              <w:top w:val="single" w:sz="4" w:space="0" w:color="auto"/>
              <w:left w:val="single" w:sz="4" w:space="0" w:color="auto"/>
              <w:bottom w:val="single" w:sz="4" w:space="0" w:color="auto"/>
              <w:right w:val="single" w:sz="4" w:space="0" w:color="auto"/>
            </w:tcBorders>
            <w:vAlign w:val="center"/>
          </w:tcPr>
          <w:p w14:paraId="15072EEA" w14:textId="2DB401EC" w:rsidR="00057CDA" w:rsidRPr="00057CDA" w:rsidRDefault="00057CDA" w:rsidP="00057CDA">
            <w:pPr>
              <w:ind w:left="0" w:right="0" w:firstLine="0"/>
              <w:jc w:val="center"/>
              <w:rPr>
                <w:rFonts w:cstheme="minorHAnsi"/>
              </w:rPr>
            </w:pPr>
            <w:r w:rsidRPr="00057CDA">
              <w:rPr>
                <w:rFonts w:cstheme="minorHAnsi"/>
              </w:rPr>
              <w:t>2 221 902,70</w:t>
            </w:r>
          </w:p>
        </w:tc>
      </w:tr>
      <w:tr w:rsidR="00057CDA" w:rsidRPr="00E87DEE" w14:paraId="526BBC85" w14:textId="77777777" w:rsidTr="00057CDA">
        <w:trPr>
          <w:trHeight w:val="251"/>
        </w:trPr>
        <w:tc>
          <w:tcPr>
            <w:tcW w:w="4076" w:type="dxa"/>
            <w:tcBorders>
              <w:top w:val="single" w:sz="4" w:space="0" w:color="auto"/>
              <w:left w:val="single" w:sz="4" w:space="0" w:color="auto"/>
              <w:bottom w:val="single" w:sz="4" w:space="0" w:color="auto"/>
              <w:right w:val="single" w:sz="4" w:space="0" w:color="auto"/>
            </w:tcBorders>
          </w:tcPr>
          <w:p w14:paraId="3566EA7E" w14:textId="77777777" w:rsidR="00057CDA" w:rsidRPr="003151E8" w:rsidRDefault="00057CDA" w:rsidP="00EC3785">
            <w:pPr>
              <w:ind w:left="0" w:right="0" w:firstLine="0"/>
              <w:rPr>
                <w:rFonts w:cstheme="minorHAnsi"/>
              </w:rPr>
            </w:pPr>
            <w:r w:rsidRPr="003151E8">
              <w:rPr>
                <w:rFonts w:cstheme="minorHAnsi"/>
              </w:rPr>
              <w:t xml:space="preserve">Zvýšení ceny v rámci změn dle ZL č. </w:t>
            </w:r>
            <w:r>
              <w:rPr>
                <w:rFonts w:cstheme="minorHAnsi"/>
              </w:rPr>
              <w:t>2</w:t>
            </w:r>
          </w:p>
        </w:tc>
        <w:tc>
          <w:tcPr>
            <w:tcW w:w="2792" w:type="dxa"/>
            <w:tcBorders>
              <w:top w:val="single" w:sz="4" w:space="0" w:color="auto"/>
              <w:left w:val="single" w:sz="4" w:space="0" w:color="auto"/>
              <w:bottom w:val="single" w:sz="4" w:space="0" w:color="auto"/>
              <w:right w:val="single" w:sz="4" w:space="0" w:color="auto"/>
            </w:tcBorders>
            <w:vAlign w:val="center"/>
          </w:tcPr>
          <w:p w14:paraId="483EC435" w14:textId="055808B0" w:rsidR="00057CDA" w:rsidRPr="003151E8" w:rsidRDefault="00631380" w:rsidP="00EC3785">
            <w:pPr>
              <w:ind w:left="0" w:right="0" w:firstLine="0"/>
              <w:jc w:val="center"/>
              <w:rPr>
                <w:rFonts w:cstheme="minorHAnsi"/>
              </w:rPr>
            </w:pPr>
            <w:r>
              <w:rPr>
                <w:rFonts w:cstheme="minorHAnsi"/>
              </w:rPr>
              <w:t>147 179,75</w:t>
            </w:r>
          </w:p>
        </w:tc>
        <w:tc>
          <w:tcPr>
            <w:tcW w:w="2793" w:type="dxa"/>
            <w:tcBorders>
              <w:top w:val="single" w:sz="4" w:space="0" w:color="auto"/>
              <w:left w:val="single" w:sz="4" w:space="0" w:color="auto"/>
              <w:bottom w:val="single" w:sz="4" w:space="0" w:color="auto"/>
              <w:right w:val="single" w:sz="4" w:space="0" w:color="auto"/>
            </w:tcBorders>
            <w:vAlign w:val="center"/>
          </w:tcPr>
          <w:p w14:paraId="2AF9F654" w14:textId="1076223D" w:rsidR="00057CDA" w:rsidRPr="00E87DEE" w:rsidRDefault="00EF19F9" w:rsidP="00EC3785">
            <w:pPr>
              <w:ind w:left="0" w:right="0" w:firstLine="0"/>
              <w:jc w:val="center"/>
              <w:rPr>
                <w:rFonts w:cstheme="minorHAnsi"/>
              </w:rPr>
            </w:pPr>
            <w:r>
              <w:rPr>
                <w:rFonts w:cstheme="minorHAnsi"/>
              </w:rPr>
              <w:t>178 087,50</w:t>
            </w:r>
          </w:p>
        </w:tc>
      </w:tr>
      <w:tr w:rsidR="00057CDA" w:rsidRPr="00E87DEE" w14:paraId="21B62A2C" w14:textId="77777777" w:rsidTr="00057CDA">
        <w:trPr>
          <w:trHeight w:val="266"/>
        </w:trPr>
        <w:tc>
          <w:tcPr>
            <w:tcW w:w="4076" w:type="dxa"/>
            <w:tcBorders>
              <w:top w:val="single" w:sz="4" w:space="0" w:color="auto"/>
              <w:left w:val="single" w:sz="4" w:space="0" w:color="auto"/>
              <w:bottom w:val="single" w:sz="4" w:space="0" w:color="auto"/>
              <w:right w:val="single" w:sz="4" w:space="0" w:color="auto"/>
            </w:tcBorders>
          </w:tcPr>
          <w:p w14:paraId="0A2C2983" w14:textId="77777777" w:rsidR="00057CDA" w:rsidRPr="003151E8" w:rsidRDefault="00057CDA" w:rsidP="00EC3785">
            <w:pPr>
              <w:ind w:left="0" w:right="0" w:firstLine="0"/>
              <w:rPr>
                <w:rFonts w:cstheme="minorHAnsi"/>
              </w:rPr>
            </w:pPr>
            <w:r>
              <w:rPr>
                <w:rFonts w:cstheme="minorHAnsi"/>
              </w:rPr>
              <w:t>Snížení ceny v rámci změn dle ZL č. 2</w:t>
            </w:r>
          </w:p>
        </w:tc>
        <w:tc>
          <w:tcPr>
            <w:tcW w:w="2792" w:type="dxa"/>
            <w:tcBorders>
              <w:top w:val="single" w:sz="4" w:space="0" w:color="auto"/>
              <w:left w:val="single" w:sz="4" w:space="0" w:color="auto"/>
              <w:bottom w:val="single" w:sz="4" w:space="0" w:color="auto"/>
              <w:right w:val="single" w:sz="4" w:space="0" w:color="auto"/>
            </w:tcBorders>
            <w:vAlign w:val="center"/>
          </w:tcPr>
          <w:p w14:paraId="5B414F58" w14:textId="5BF88376" w:rsidR="00631380" w:rsidRPr="00631380" w:rsidRDefault="00631380" w:rsidP="00631380">
            <w:pPr>
              <w:ind w:left="0" w:right="0" w:firstLine="0"/>
              <w:jc w:val="center"/>
              <w:rPr>
                <w:rFonts w:cstheme="minorHAnsi"/>
              </w:rPr>
            </w:pPr>
            <w:r w:rsidRPr="00631380">
              <w:rPr>
                <w:rFonts w:cstheme="minorHAnsi"/>
              </w:rPr>
              <w:t>196 599,11</w:t>
            </w:r>
          </w:p>
        </w:tc>
        <w:tc>
          <w:tcPr>
            <w:tcW w:w="2793" w:type="dxa"/>
            <w:tcBorders>
              <w:top w:val="single" w:sz="4" w:space="0" w:color="auto"/>
              <w:left w:val="single" w:sz="4" w:space="0" w:color="auto"/>
              <w:bottom w:val="single" w:sz="4" w:space="0" w:color="auto"/>
              <w:right w:val="single" w:sz="4" w:space="0" w:color="auto"/>
            </w:tcBorders>
            <w:vAlign w:val="center"/>
          </w:tcPr>
          <w:p w14:paraId="738DCB1E" w14:textId="4D763835" w:rsidR="00057CDA" w:rsidRPr="00E87DEE" w:rsidRDefault="00EF19F9" w:rsidP="00EC3785">
            <w:pPr>
              <w:ind w:left="0" w:right="0" w:firstLine="0"/>
              <w:jc w:val="center"/>
              <w:rPr>
                <w:rFonts w:cstheme="minorHAnsi"/>
              </w:rPr>
            </w:pPr>
            <w:r>
              <w:rPr>
                <w:rFonts w:cstheme="minorHAnsi"/>
              </w:rPr>
              <w:t>237 884,92</w:t>
            </w:r>
          </w:p>
        </w:tc>
      </w:tr>
      <w:tr w:rsidR="00057CDA" w:rsidRPr="003151E8" w14:paraId="5985FFF9" w14:textId="77777777" w:rsidTr="00057CDA">
        <w:trPr>
          <w:trHeight w:val="372"/>
        </w:trPr>
        <w:tc>
          <w:tcPr>
            <w:tcW w:w="4076" w:type="dxa"/>
            <w:tcBorders>
              <w:top w:val="single" w:sz="4" w:space="0" w:color="auto"/>
              <w:left w:val="single" w:sz="4" w:space="0" w:color="auto"/>
              <w:bottom w:val="single" w:sz="4" w:space="0" w:color="auto"/>
              <w:right w:val="single" w:sz="4" w:space="0" w:color="auto"/>
            </w:tcBorders>
          </w:tcPr>
          <w:p w14:paraId="647C9F97" w14:textId="77777777" w:rsidR="00057CDA" w:rsidRPr="003151E8" w:rsidRDefault="00057CDA" w:rsidP="00EC3785">
            <w:pPr>
              <w:ind w:left="0" w:right="0" w:firstLine="0"/>
              <w:rPr>
                <w:rFonts w:cstheme="minorHAnsi"/>
                <w:b/>
              </w:rPr>
            </w:pPr>
            <w:r w:rsidRPr="003151E8">
              <w:rPr>
                <w:rFonts w:cstheme="minorHAnsi"/>
                <w:b/>
              </w:rPr>
              <w:t xml:space="preserve">cena v rámci změn </w:t>
            </w:r>
            <w:r>
              <w:rPr>
                <w:rFonts w:cstheme="minorHAnsi"/>
                <w:b/>
              </w:rPr>
              <w:t>dle ZL č. 2</w:t>
            </w:r>
          </w:p>
        </w:tc>
        <w:tc>
          <w:tcPr>
            <w:tcW w:w="2792" w:type="dxa"/>
            <w:tcBorders>
              <w:top w:val="single" w:sz="4" w:space="0" w:color="auto"/>
              <w:left w:val="single" w:sz="4" w:space="0" w:color="auto"/>
              <w:bottom w:val="single" w:sz="4" w:space="0" w:color="auto"/>
              <w:right w:val="single" w:sz="4" w:space="0" w:color="auto"/>
            </w:tcBorders>
            <w:vAlign w:val="center"/>
          </w:tcPr>
          <w:p w14:paraId="1C035A3F" w14:textId="026D45CF" w:rsidR="00057CDA" w:rsidRPr="00631380" w:rsidRDefault="00631380" w:rsidP="00631380">
            <w:pPr>
              <w:ind w:left="0" w:right="0" w:firstLine="0"/>
              <w:jc w:val="center"/>
              <w:rPr>
                <w:rFonts w:cstheme="minorHAnsi"/>
                <w:b/>
              </w:rPr>
            </w:pPr>
            <w:r>
              <w:rPr>
                <w:rFonts w:cstheme="minorHAnsi"/>
                <w:b/>
              </w:rPr>
              <w:t>-49 419,36</w:t>
            </w:r>
          </w:p>
        </w:tc>
        <w:tc>
          <w:tcPr>
            <w:tcW w:w="2793" w:type="dxa"/>
            <w:tcBorders>
              <w:top w:val="single" w:sz="4" w:space="0" w:color="auto"/>
              <w:left w:val="single" w:sz="4" w:space="0" w:color="auto"/>
              <w:bottom w:val="single" w:sz="4" w:space="0" w:color="auto"/>
              <w:right w:val="single" w:sz="4" w:space="0" w:color="auto"/>
            </w:tcBorders>
            <w:vAlign w:val="center"/>
          </w:tcPr>
          <w:p w14:paraId="47A9D610" w14:textId="3C61D072" w:rsidR="00057CDA" w:rsidRPr="003151E8" w:rsidRDefault="00EF19F9" w:rsidP="00EC3785">
            <w:pPr>
              <w:ind w:left="0" w:right="0" w:firstLine="0"/>
              <w:jc w:val="center"/>
              <w:rPr>
                <w:rFonts w:cstheme="minorHAnsi"/>
                <w:b/>
              </w:rPr>
            </w:pPr>
            <w:r>
              <w:rPr>
                <w:rFonts w:cstheme="minorHAnsi"/>
                <w:b/>
              </w:rPr>
              <w:t>-59 797,42</w:t>
            </w:r>
          </w:p>
        </w:tc>
      </w:tr>
      <w:tr w:rsidR="00057CDA" w:rsidRPr="003151E8" w14:paraId="1DA0A97B" w14:textId="77777777" w:rsidTr="00057CDA">
        <w:trPr>
          <w:trHeight w:val="372"/>
        </w:trPr>
        <w:tc>
          <w:tcPr>
            <w:tcW w:w="4076" w:type="dxa"/>
            <w:tcBorders>
              <w:top w:val="single" w:sz="4" w:space="0" w:color="auto"/>
              <w:left w:val="single" w:sz="4" w:space="0" w:color="auto"/>
              <w:bottom w:val="single" w:sz="4" w:space="0" w:color="auto"/>
              <w:right w:val="single" w:sz="4" w:space="0" w:color="auto"/>
            </w:tcBorders>
          </w:tcPr>
          <w:p w14:paraId="04B9DD56" w14:textId="77777777" w:rsidR="00057CDA" w:rsidRPr="003151E8" w:rsidRDefault="00057CDA" w:rsidP="00EC3785">
            <w:pPr>
              <w:ind w:left="0" w:right="0" w:firstLine="0"/>
              <w:rPr>
                <w:rFonts w:cstheme="minorHAnsi"/>
                <w:b/>
              </w:rPr>
            </w:pPr>
            <w:r>
              <w:rPr>
                <w:rFonts w:cstheme="minorHAnsi"/>
                <w:b/>
              </w:rPr>
              <w:t>Celková cena po zahrnutí všech dosavadních změnových listů</w:t>
            </w:r>
          </w:p>
        </w:tc>
        <w:tc>
          <w:tcPr>
            <w:tcW w:w="2792" w:type="dxa"/>
            <w:tcBorders>
              <w:top w:val="single" w:sz="4" w:space="0" w:color="auto"/>
              <w:left w:val="single" w:sz="4" w:space="0" w:color="auto"/>
              <w:bottom w:val="single" w:sz="4" w:space="0" w:color="auto"/>
              <w:right w:val="single" w:sz="4" w:space="0" w:color="auto"/>
            </w:tcBorders>
            <w:vAlign w:val="center"/>
          </w:tcPr>
          <w:p w14:paraId="696CD29A" w14:textId="22A6CD4F" w:rsidR="00057CDA" w:rsidRPr="003151E8" w:rsidRDefault="00631380" w:rsidP="00EC3785">
            <w:pPr>
              <w:ind w:left="0" w:right="0" w:firstLine="0"/>
              <w:jc w:val="center"/>
              <w:rPr>
                <w:rFonts w:cstheme="minorHAnsi"/>
                <w:b/>
              </w:rPr>
            </w:pPr>
            <w:r>
              <w:rPr>
                <w:rFonts w:cstheme="minorHAnsi"/>
                <w:b/>
              </w:rPr>
              <w:t>1 786 863,86</w:t>
            </w:r>
          </w:p>
        </w:tc>
        <w:tc>
          <w:tcPr>
            <w:tcW w:w="2793" w:type="dxa"/>
            <w:tcBorders>
              <w:top w:val="single" w:sz="4" w:space="0" w:color="auto"/>
              <w:left w:val="single" w:sz="4" w:space="0" w:color="auto"/>
              <w:bottom w:val="single" w:sz="4" w:space="0" w:color="auto"/>
              <w:right w:val="single" w:sz="4" w:space="0" w:color="auto"/>
            </w:tcBorders>
            <w:vAlign w:val="center"/>
          </w:tcPr>
          <w:p w14:paraId="0ED85E27" w14:textId="1B12E979" w:rsidR="00057CDA" w:rsidRPr="003151E8" w:rsidRDefault="00EF19F9" w:rsidP="00EF19F9">
            <w:pPr>
              <w:ind w:left="0" w:right="0" w:firstLine="0"/>
              <w:jc w:val="center"/>
              <w:rPr>
                <w:rFonts w:cstheme="minorHAnsi"/>
                <w:b/>
              </w:rPr>
            </w:pPr>
            <w:r>
              <w:rPr>
                <w:rFonts w:cstheme="minorHAnsi"/>
                <w:b/>
              </w:rPr>
              <w:t>2 162 105,2</w:t>
            </w:r>
            <w:r w:rsidR="00CB4F90">
              <w:rPr>
                <w:rFonts w:cstheme="minorHAnsi"/>
                <w:b/>
              </w:rPr>
              <w:t>8</w:t>
            </w:r>
          </w:p>
        </w:tc>
      </w:tr>
    </w:tbl>
    <w:p w14:paraId="01E192A3" w14:textId="77777777" w:rsidR="00057CDA" w:rsidRPr="003151E8" w:rsidRDefault="00057CDA" w:rsidP="00E07E12">
      <w:pPr>
        <w:ind w:left="0" w:right="0" w:firstLine="0"/>
        <w:rPr>
          <w:rFonts w:cstheme="minorHAnsi"/>
        </w:rPr>
      </w:pPr>
    </w:p>
    <w:p w14:paraId="18BECBEA" w14:textId="77777777" w:rsidR="003151E8" w:rsidRPr="003151E8" w:rsidRDefault="003151E8" w:rsidP="00E07E12">
      <w:pPr>
        <w:ind w:left="0" w:right="0" w:firstLine="0"/>
        <w:rPr>
          <w:rFonts w:cstheme="minorHAnsi"/>
        </w:rPr>
      </w:pPr>
    </w:p>
    <w:p w14:paraId="6AA18428" w14:textId="77777777" w:rsidR="00E07E12" w:rsidRPr="003151E8" w:rsidRDefault="00E07E12" w:rsidP="00E07E12">
      <w:pPr>
        <w:ind w:left="0" w:right="0" w:firstLine="0"/>
        <w:rPr>
          <w:rFonts w:cstheme="minorHAnsi"/>
        </w:rPr>
      </w:pPr>
      <w:r w:rsidRPr="003151E8">
        <w:rPr>
          <w:rFonts w:cstheme="minorHAnsi"/>
        </w:rPr>
        <w:t>Změnový list je vyhotoven ve 2 originálních výtiscích, z nichž jeden výtisk je založen u zhotovitele, jeden výtisk u investora a kopie založena u TDI.</w:t>
      </w:r>
    </w:p>
    <w:p w14:paraId="32B50E40" w14:textId="2D0AB08A" w:rsidR="0069539D" w:rsidRPr="00155BA4" w:rsidRDefault="00E07E12" w:rsidP="00E07E12">
      <w:pPr>
        <w:ind w:left="0" w:right="0" w:firstLine="0"/>
        <w:rPr>
          <w:rFonts w:cstheme="minorHAnsi"/>
        </w:rPr>
      </w:pPr>
      <w:r w:rsidRPr="003151E8">
        <w:rPr>
          <w:rFonts w:cstheme="minorHAnsi"/>
        </w:rPr>
        <w:t xml:space="preserve">            </w:t>
      </w:r>
    </w:p>
    <w:p w14:paraId="66F07ED8" w14:textId="5C234B74" w:rsidR="00E07E12" w:rsidRPr="003151E8" w:rsidRDefault="00155BA4" w:rsidP="00155BA4">
      <w:pPr>
        <w:spacing w:after="120"/>
        <w:ind w:left="0" w:right="0" w:firstLine="0"/>
        <w:rPr>
          <w:rFonts w:cstheme="minorHAnsi"/>
          <w:b/>
          <w:u w:val="single"/>
        </w:rPr>
      </w:pPr>
      <w:r>
        <w:rPr>
          <w:rFonts w:cstheme="minorHAnsi"/>
          <w:b/>
          <w:u w:val="single"/>
        </w:rPr>
        <w:t>4</w:t>
      </w:r>
      <w:r w:rsidR="00E07E12" w:rsidRPr="003151E8">
        <w:rPr>
          <w:rFonts w:cstheme="minorHAnsi"/>
          <w:b/>
          <w:u w:val="single"/>
        </w:rPr>
        <w:t xml:space="preserve">. Přílohy ZL </w:t>
      </w:r>
      <w:r w:rsidR="000C40D5" w:rsidRPr="003151E8">
        <w:rPr>
          <w:rFonts w:cstheme="minorHAnsi"/>
          <w:b/>
          <w:u w:val="single"/>
        </w:rPr>
        <w:t xml:space="preserve">č. </w:t>
      </w:r>
      <w:r w:rsidR="00882460">
        <w:rPr>
          <w:rFonts w:cstheme="minorHAnsi"/>
          <w:b/>
          <w:u w:val="single"/>
        </w:rPr>
        <w:t>2</w:t>
      </w:r>
      <w:r w:rsidR="000C40D5" w:rsidRPr="003151E8">
        <w:rPr>
          <w:rFonts w:cstheme="minorHAnsi"/>
          <w:b/>
          <w:u w:val="single"/>
        </w:rPr>
        <w:t>:</w:t>
      </w:r>
    </w:p>
    <w:p w14:paraId="2B9ABD27" w14:textId="2815BA33" w:rsidR="008D372E" w:rsidRPr="0075291B" w:rsidRDefault="008D372E" w:rsidP="008D372E">
      <w:pPr>
        <w:pStyle w:val="Odstavecseseznamem"/>
        <w:numPr>
          <w:ilvl w:val="0"/>
          <w:numId w:val="19"/>
        </w:numPr>
        <w:jc w:val="left"/>
        <w:rPr>
          <w:rFonts w:cstheme="minorHAnsi"/>
        </w:rPr>
      </w:pPr>
      <w:r>
        <w:rPr>
          <w:rFonts w:cstheme="minorHAnsi"/>
        </w:rPr>
        <w:t>P</w:t>
      </w:r>
      <w:r w:rsidRPr="0075291B">
        <w:rPr>
          <w:rFonts w:cstheme="minorHAnsi"/>
        </w:rPr>
        <w:t>oložkov</w:t>
      </w:r>
      <w:r w:rsidR="0001263C">
        <w:rPr>
          <w:rFonts w:cstheme="minorHAnsi"/>
        </w:rPr>
        <w:t>ý</w:t>
      </w:r>
      <w:r w:rsidRPr="0075291B">
        <w:rPr>
          <w:rFonts w:cstheme="minorHAnsi"/>
        </w:rPr>
        <w:t xml:space="preserve"> rozpoč</w:t>
      </w:r>
      <w:r>
        <w:rPr>
          <w:rFonts w:cstheme="minorHAnsi"/>
        </w:rPr>
        <w:t>et</w:t>
      </w:r>
      <w:r w:rsidRPr="0075291B">
        <w:rPr>
          <w:rFonts w:cstheme="minorHAnsi"/>
        </w:rPr>
        <w:t xml:space="preserve"> víceprací  </w:t>
      </w:r>
    </w:p>
    <w:p w14:paraId="6A57571C" w14:textId="77777777" w:rsidR="008D372E" w:rsidRPr="0075291B" w:rsidRDefault="008D372E" w:rsidP="008D372E">
      <w:pPr>
        <w:pStyle w:val="Odstavecseseznamem"/>
        <w:numPr>
          <w:ilvl w:val="0"/>
          <w:numId w:val="19"/>
        </w:numPr>
        <w:jc w:val="left"/>
        <w:rPr>
          <w:rFonts w:cstheme="minorHAnsi"/>
        </w:rPr>
      </w:pPr>
      <w:r>
        <w:rPr>
          <w:rFonts w:cstheme="minorHAnsi"/>
        </w:rPr>
        <w:t xml:space="preserve">Položkový rozpočet </w:t>
      </w:r>
      <w:proofErr w:type="spellStart"/>
      <w:r>
        <w:rPr>
          <w:rFonts w:cstheme="minorHAnsi"/>
        </w:rPr>
        <w:t>méněprací</w:t>
      </w:r>
      <w:proofErr w:type="spellEnd"/>
    </w:p>
    <w:p w14:paraId="2E504EE3" w14:textId="77777777" w:rsidR="00BD53BA" w:rsidRPr="003151E8" w:rsidRDefault="00BD53BA" w:rsidP="00FE41A5">
      <w:pPr>
        <w:ind w:left="0" w:right="0" w:firstLine="0"/>
        <w:rPr>
          <w:rFonts w:cstheme="minorHAnsi"/>
          <w:b/>
          <w:u w:val="single"/>
        </w:rPr>
      </w:pPr>
    </w:p>
    <w:p w14:paraId="59EF2996" w14:textId="48AC6566" w:rsidR="00AF33ED" w:rsidRPr="003151E8" w:rsidRDefault="00155BA4" w:rsidP="00AF33ED">
      <w:pPr>
        <w:ind w:left="0" w:right="0" w:firstLine="0"/>
        <w:rPr>
          <w:rFonts w:cstheme="minorHAnsi"/>
          <w:b/>
          <w:u w:val="single"/>
        </w:rPr>
      </w:pPr>
      <w:r>
        <w:rPr>
          <w:rFonts w:cstheme="minorHAnsi"/>
          <w:b/>
          <w:u w:val="single"/>
        </w:rPr>
        <w:t>5</w:t>
      </w:r>
      <w:r w:rsidR="00AF33ED" w:rsidRPr="003151E8">
        <w:rPr>
          <w:rFonts w:cstheme="minorHAnsi"/>
          <w:b/>
          <w:u w:val="single"/>
        </w:rPr>
        <w:t>. Stanovisko zhotovitele stavby:</w:t>
      </w:r>
    </w:p>
    <w:p w14:paraId="471B5880" w14:textId="09623885" w:rsidR="00802843" w:rsidRPr="003151E8" w:rsidRDefault="00802843" w:rsidP="00802843">
      <w:pPr>
        <w:spacing w:before="40"/>
        <w:ind w:left="0" w:right="0" w:firstLine="0"/>
        <w:rPr>
          <w:rFonts w:cstheme="minorHAnsi"/>
        </w:rPr>
      </w:pPr>
      <w:r w:rsidRPr="003151E8">
        <w:rPr>
          <w:rFonts w:cstheme="minorHAnsi"/>
        </w:rPr>
        <w:t xml:space="preserve">Tyto změny díla </w:t>
      </w:r>
      <w:r w:rsidR="008D372E">
        <w:rPr>
          <w:rFonts w:cstheme="minorHAnsi"/>
        </w:rPr>
        <w:t>upřesňují objemový a technologický rozsah v návaznosti na nálezy, které vyplynuly v průběhu realizace díla a z výsledků podrobných a destruktivních průzkumů.</w:t>
      </w:r>
    </w:p>
    <w:p w14:paraId="655F6420" w14:textId="77777777" w:rsidR="00AF33ED" w:rsidRPr="003151E8" w:rsidRDefault="00AF33ED" w:rsidP="00AF33ED">
      <w:pPr>
        <w:ind w:left="0" w:right="0" w:firstLine="0"/>
        <w:rPr>
          <w:rFonts w:cstheme="minorHAnsi"/>
        </w:rPr>
      </w:pPr>
    </w:p>
    <w:p w14:paraId="6AC48B6F" w14:textId="77777777" w:rsidR="00466EE1" w:rsidRDefault="00466EE1" w:rsidP="00AF33ED">
      <w:pPr>
        <w:ind w:left="0" w:right="0" w:firstLine="0"/>
        <w:rPr>
          <w:rFonts w:cstheme="minorHAnsi"/>
        </w:rPr>
      </w:pPr>
    </w:p>
    <w:p w14:paraId="665ACC28" w14:textId="16C183F2" w:rsidR="004720E0" w:rsidRDefault="004720E0" w:rsidP="00AF33ED">
      <w:pPr>
        <w:ind w:left="0" w:right="0" w:firstLine="0"/>
        <w:rPr>
          <w:rFonts w:cstheme="minorHAnsi"/>
        </w:rPr>
      </w:pPr>
    </w:p>
    <w:p w14:paraId="18EF8F97" w14:textId="396461EE" w:rsidR="00DE70F3" w:rsidRDefault="00DE70F3" w:rsidP="00AF33ED">
      <w:pPr>
        <w:ind w:left="0" w:right="0" w:firstLine="0"/>
        <w:rPr>
          <w:rFonts w:cstheme="minorHAnsi"/>
        </w:rPr>
      </w:pPr>
    </w:p>
    <w:p w14:paraId="5B0DCBA4" w14:textId="77777777" w:rsidR="00DE70F3" w:rsidRDefault="00DE70F3" w:rsidP="00AF33ED">
      <w:pPr>
        <w:ind w:left="0" w:right="0" w:firstLine="0"/>
        <w:rPr>
          <w:rFonts w:cstheme="minorHAnsi"/>
        </w:rPr>
      </w:pPr>
    </w:p>
    <w:p w14:paraId="179116B0" w14:textId="3CBDD24C" w:rsidR="00AF33ED" w:rsidRPr="003151E8" w:rsidRDefault="00AF33ED" w:rsidP="00AF33ED">
      <w:pPr>
        <w:ind w:left="0" w:right="0" w:firstLine="0"/>
        <w:rPr>
          <w:rFonts w:cstheme="minorHAnsi"/>
          <w:b/>
        </w:rPr>
      </w:pPr>
      <w:r w:rsidRPr="003151E8">
        <w:rPr>
          <w:rFonts w:cstheme="minorHAnsi"/>
        </w:rPr>
        <w:t>Da</w:t>
      </w:r>
      <w:r w:rsidR="00327D81">
        <w:rPr>
          <w:rFonts w:cstheme="minorHAnsi"/>
        </w:rPr>
        <w:t xml:space="preserve">tum: </w:t>
      </w:r>
      <w:r w:rsidR="00882460">
        <w:rPr>
          <w:rFonts w:cstheme="minorHAnsi"/>
        </w:rPr>
        <w:t>1</w:t>
      </w:r>
      <w:r w:rsidR="00B91A3F">
        <w:rPr>
          <w:rFonts w:cstheme="minorHAnsi"/>
        </w:rPr>
        <w:t>4</w:t>
      </w:r>
      <w:r w:rsidR="0075291B">
        <w:rPr>
          <w:rFonts w:cstheme="minorHAnsi"/>
        </w:rPr>
        <w:t>.</w:t>
      </w:r>
      <w:r w:rsidR="003F01BE">
        <w:rPr>
          <w:rFonts w:cstheme="minorHAnsi"/>
        </w:rPr>
        <w:t xml:space="preserve"> </w:t>
      </w:r>
      <w:r w:rsidR="00882460">
        <w:rPr>
          <w:rFonts w:cstheme="minorHAnsi"/>
        </w:rPr>
        <w:t>04</w:t>
      </w:r>
      <w:r w:rsidR="0075291B">
        <w:rPr>
          <w:rFonts w:cstheme="minorHAnsi"/>
        </w:rPr>
        <w:t>.</w:t>
      </w:r>
      <w:r w:rsidR="003F01BE">
        <w:rPr>
          <w:rFonts w:cstheme="minorHAnsi"/>
        </w:rPr>
        <w:t xml:space="preserve"> 202</w:t>
      </w:r>
      <w:r w:rsidR="00882460">
        <w:rPr>
          <w:rFonts w:cstheme="minorHAnsi"/>
        </w:rPr>
        <w:t>3</w:t>
      </w:r>
      <w:r w:rsidRPr="003151E8">
        <w:rPr>
          <w:rFonts w:cstheme="minorHAnsi"/>
        </w:rPr>
        <w:t xml:space="preserve">                                                                                    </w:t>
      </w:r>
      <w:proofErr w:type="spellStart"/>
      <w:r w:rsidR="00EF4CCD">
        <w:rPr>
          <w:rFonts w:cstheme="minorHAnsi"/>
          <w:b/>
        </w:rPr>
        <w:t>xxxxxxxxxxxxx</w:t>
      </w:r>
      <w:proofErr w:type="spellEnd"/>
    </w:p>
    <w:p w14:paraId="1D4E5B25" w14:textId="77777777" w:rsidR="00466EE1" w:rsidRDefault="00AF33ED" w:rsidP="00AF33ED">
      <w:pPr>
        <w:ind w:left="0" w:right="0" w:firstLine="0"/>
        <w:rPr>
          <w:rFonts w:cstheme="minorHAnsi"/>
          <w:b/>
        </w:rPr>
      </w:pPr>
      <w:r w:rsidRPr="003151E8">
        <w:rPr>
          <w:rFonts w:cstheme="minorHAnsi"/>
          <w:b/>
        </w:rPr>
        <w:t xml:space="preserve">      </w:t>
      </w:r>
    </w:p>
    <w:p w14:paraId="34202977" w14:textId="059E19BF" w:rsidR="00AF33ED" w:rsidRPr="003151E8" w:rsidRDefault="00AF33ED" w:rsidP="00AF33ED">
      <w:pPr>
        <w:ind w:left="0" w:right="0" w:firstLine="0"/>
        <w:rPr>
          <w:rFonts w:cstheme="minorHAnsi"/>
          <w:b/>
        </w:rPr>
      </w:pPr>
      <w:r w:rsidRPr="003151E8">
        <w:rPr>
          <w:rFonts w:cstheme="minorHAnsi"/>
          <w:b/>
        </w:rPr>
        <w:t xml:space="preserve">                                                                                                                              </w:t>
      </w:r>
    </w:p>
    <w:p w14:paraId="7513E192" w14:textId="26BF403F" w:rsidR="00DE70F3" w:rsidRPr="003151E8" w:rsidRDefault="00DE70F3" w:rsidP="00AF33ED">
      <w:pPr>
        <w:ind w:left="0" w:right="0" w:firstLine="0"/>
        <w:rPr>
          <w:rFonts w:cstheme="minorHAnsi"/>
          <w:b/>
          <w:u w:val="single"/>
        </w:rPr>
      </w:pPr>
    </w:p>
    <w:p w14:paraId="383C4450" w14:textId="518DF34E" w:rsidR="00AF33ED" w:rsidRPr="003151E8" w:rsidRDefault="00155BA4" w:rsidP="00AF33ED">
      <w:pPr>
        <w:ind w:left="0" w:right="0" w:firstLine="0"/>
        <w:rPr>
          <w:rFonts w:cstheme="minorHAnsi"/>
          <w:b/>
          <w:u w:val="single"/>
        </w:rPr>
      </w:pPr>
      <w:r>
        <w:rPr>
          <w:rFonts w:cstheme="minorHAnsi"/>
          <w:b/>
          <w:u w:val="single"/>
        </w:rPr>
        <w:lastRenderedPageBreak/>
        <w:t>6</w:t>
      </w:r>
      <w:r w:rsidR="00802843">
        <w:rPr>
          <w:rFonts w:cstheme="minorHAnsi"/>
          <w:b/>
          <w:u w:val="single"/>
        </w:rPr>
        <w:t xml:space="preserve">. </w:t>
      </w:r>
      <w:r w:rsidR="00AF33ED" w:rsidRPr="003151E8">
        <w:rPr>
          <w:rFonts w:cstheme="minorHAnsi"/>
          <w:b/>
          <w:u w:val="single"/>
        </w:rPr>
        <w:t xml:space="preserve"> Stanovisko objednatele díla:</w:t>
      </w:r>
    </w:p>
    <w:p w14:paraId="7B159490" w14:textId="7BA1E2F5" w:rsidR="00892B74" w:rsidRPr="003151E8" w:rsidRDefault="00AF33ED" w:rsidP="00892B74">
      <w:pPr>
        <w:ind w:left="0" w:right="0" w:firstLine="0"/>
        <w:rPr>
          <w:rFonts w:cstheme="minorHAnsi"/>
        </w:rPr>
      </w:pPr>
      <w:r w:rsidRPr="003151E8">
        <w:rPr>
          <w:rFonts w:cstheme="minorHAnsi"/>
        </w:rPr>
        <w:t>Navržen</w:t>
      </w:r>
      <w:r w:rsidR="003151E8">
        <w:rPr>
          <w:rFonts w:cstheme="minorHAnsi"/>
        </w:rPr>
        <w:t>é</w:t>
      </w:r>
      <w:r w:rsidRPr="003151E8">
        <w:rPr>
          <w:rFonts w:cstheme="minorHAnsi"/>
        </w:rPr>
        <w:t xml:space="preserve"> změn</w:t>
      </w:r>
      <w:r w:rsidR="003151E8">
        <w:rPr>
          <w:rFonts w:cstheme="minorHAnsi"/>
        </w:rPr>
        <w:t>y uvedené ve</w:t>
      </w:r>
      <w:r w:rsidRPr="003151E8">
        <w:rPr>
          <w:rFonts w:cstheme="minorHAnsi"/>
        </w:rPr>
        <w:t xml:space="preserve"> ZL č. </w:t>
      </w:r>
      <w:r w:rsidR="0001263C">
        <w:rPr>
          <w:rFonts w:cstheme="minorHAnsi"/>
        </w:rPr>
        <w:t>2</w:t>
      </w:r>
      <w:r w:rsidR="0075291B" w:rsidRPr="003151E8">
        <w:rPr>
          <w:rFonts w:cstheme="minorHAnsi"/>
        </w:rPr>
        <w:t xml:space="preserve"> </w:t>
      </w:r>
      <w:r w:rsidRPr="003151E8">
        <w:rPr>
          <w:rFonts w:cstheme="minorHAnsi"/>
        </w:rPr>
        <w:t>n</w:t>
      </w:r>
      <w:r w:rsidR="00802843">
        <w:rPr>
          <w:rFonts w:cstheme="minorHAnsi"/>
        </w:rPr>
        <w:t>ejsou</w:t>
      </w:r>
      <w:r w:rsidRPr="003151E8">
        <w:rPr>
          <w:rFonts w:cstheme="minorHAnsi"/>
        </w:rPr>
        <w:t xml:space="preserve"> podstatnou změnou závazku ze smlouvy o dílo</w:t>
      </w:r>
      <w:r w:rsidR="005C5B78" w:rsidRPr="003151E8">
        <w:rPr>
          <w:rFonts w:cstheme="minorHAnsi"/>
        </w:rPr>
        <w:t xml:space="preserve">. Změnami se </w:t>
      </w:r>
      <w:r w:rsidR="00AF60FE" w:rsidRPr="003151E8">
        <w:rPr>
          <w:rFonts w:cstheme="minorHAnsi"/>
        </w:rPr>
        <w:t>nemění podstat</w:t>
      </w:r>
      <w:r w:rsidR="005C5B78" w:rsidRPr="003151E8">
        <w:rPr>
          <w:rFonts w:cstheme="minorHAnsi"/>
        </w:rPr>
        <w:t>a a</w:t>
      </w:r>
      <w:r w:rsidR="008329DB" w:rsidRPr="003151E8">
        <w:rPr>
          <w:rFonts w:cstheme="minorHAnsi"/>
        </w:rPr>
        <w:t>ni</w:t>
      </w:r>
      <w:r w:rsidR="005C5B78" w:rsidRPr="003151E8">
        <w:rPr>
          <w:rFonts w:cstheme="minorHAnsi"/>
        </w:rPr>
        <w:t xml:space="preserve"> zadání</w:t>
      </w:r>
      <w:r w:rsidR="00AF60FE" w:rsidRPr="003151E8">
        <w:rPr>
          <w:rFonts w:cstheme="minorHAnsi"/>
        </w:rPr>
        <w:t xml:space="preserve"> díla</w:t>
      </w:r>
      <w:r w:rsidR="004A7A4C" w:rsidRPr="003151E8">
        <w:rPr>
          <w:rFonts w:cstheme="minorHAnsi"/>
        </w:rPr>
        <w:t>,</w:t>
      </w:r>
      <w:r w:rsidR="008329DB" w:rsidRPr="003151E8">
        <w:rPr>
          <w:rFonts w:cstheme="minorHAnsi"/>
        </w:rPr>
        <w:t xml:space="preserve"> pouze se řeší</w:t>
      </w:r>
      <w:r w:rsidR="003151E8">
        <w:rPr>
          <w:rFonts w:cstheme="minorHAnsi"/>
        </w:rPr>
        <w:t xml:space="preserve"> zejména</w:t>
      </w:r>
      <w:r w:rsidR="008329DB" w:rsidRPr="003151E8">
        <w:rPr>
          <w:rFonts w:cstheme="minorHAnsi"/>
        </w:rPr>
        <w:t xml:space="preserve"> skutečnosti, které </w:t>
      </w:r>
      <w:r w:rsidR="00AF60FE" w:rsidRPr="003151E8">
        <w:rPr>
          <w:rFonts w:cstheme="minorHAnsi"/>
        </w:rPr>
        <w:t>zadavatel nemohl dopředu předvídat.</w:t>
      </w:r>
      <w:r w:rsidR="00892B74" w:rsidRPr="003151E8">
        <w:rPr>
          <w:rFonts w:cstheme="minorHAnsi"/>
        </w:rPr>
        <w:t xml:space="preserve"> </w:t>
      </w:r>
      <w:r w:rsidR="00E550D3">
        <w:rPr>
          <w:rFonts w:cstheme="minorHAnsi"/>
        </w:rPr>
        <w:t xml:space="preserve">Nezbytnost provedení těchto prací </w:t>
      </w:r>
      <w:r w:rsidR="004720E0">
        <w:rPr>
          <w:rFonts w:cstheme="minorHAnsi"/>
        </w:rPr>
        <w:t xml:space="preserve">v rámci předmětné zakázky </w:t>
      </w:r>
      <w:r w:rsidR="00E550D3">
        <w:rPr>
          <w:rFonts w:cstheme="minorHAnsi"/>
        </w:rPr>
        <w:t xml:space="preserve">je </w:t>
      </w:r>
      <w:r w:rsidR="0001263C">
        <w:rPr>
          <w:rFonts w:cstheme="minorHAnsi"/>
        </w:rPr>
        <w:t>z hlediska péče o památkový objekt naprosto zásadní.</w:t>
      </w:r>
    </w:p>
    <w:p w14:paraId="05F160E9" w14:textId="385A6846" w:rsidR="00AF33ED" w:rsidRDefault="00AF60FE" w:rsidP="00AF33ED">
      <w:pPr>
        <w:ind w:left="0" w:right="0" w:firstLine="0"/>
        <w:rPr>
          <w:rFonts w:cstheme="minorHAnsi"/>
        </w:rPr>
      </w:pPr>
      <w:r w:rsidRPr="003151E8">
        <w:rPr>
          <w:rFonts w:cstheme="minorHAnsi"/>
        </w:rPr>
        <w:t xml:space="preserve"> </w:t>
      </w:r>
    </w:p>
    <w:p w14:paraId="7F5F05B7" w14:textId="7B6B37D6" w:rsidR="00155BA4" w:rsidRDefault="00155BA4" w:rsidP="00AF33ED">
      <w:pPr>
        <w:ind w:left="0" w:right="0" w:firstLine="0"/>
        <w:rPr>
          <w:rFonts w:cstheme="minorHAnsi"/>
        </w:rPr>
      </w:pPr>
    </w:p>
    <w:p w14:paraId="5B49FE68" w14:textId="12106617" w:rsidR="00155BA4" w:rsidRDefault="00155BA4" w:rsidP="00AF33ED">
      <w:pPr>
        <w:ind w:left="0" w:right="0" w:firstLine="0"/>
        <w:rPr>
          <w:rFonts w:cstheme="minorHAnsi"/>
        </w:rPr>
      </w:pPr>
    </w:p>
    <w:p w14:paraId="1A29327C" w14:textId="39828661" w:rsidR="00DE70F3" w:rsidRDefault="00DE70F3" w:rsidP="00AF33ED">
      <w:pPr>
        <w:ind w:left="0" w:right="0" w:firstLine="0"/>
        <w:rPr>
          <w:rFonts w:cstheme="minorHAnsi"/>
        </w:rPr>
      </w:pPr>
    </w:p>
    <w:p w14:paraId="5F6A0E14" w14:textId="77777777" w:rsidR="00DE70F3" w:rsidRPr="003151E8" w:rsidRDefault="00DE70F3" w:rsidP="00AF33ED">
      <w:pPr>
        <w:ind w:left="0" w:right="0" w:firstLine="0"/>
        <w:rPr>
          <w:rFonts w:cstheme="minorHAnsi"/>
        </w:rPr>
      </w:pPr>
    </w:p>
    <w:p w14:paraId="181F8338" w14:textId="77777777" w:rsidR="00AF33ED" w:rsidRPr="003151E8" w:rsidRDefault="00AF33ED" w:rsidP="00AF33ED">
      <w:pPr>
        <w:ind w:left="0" w:right="0" w:firstLine="0"/>
        <w:rPr>
          <w:rFonts w:cstheme="minorHAnsi"/>
          <w:b/>
          <w:u w:val="single"/>
        </w:rPr>
      </w:pPr>
    </w:p>
    <w:p w14:paraId="0BF9B425" w14:textId="59397371" w:rsidR="00AF33ED" w:rsidRPr="003151E8" w:rsidRDefault="00AF33ED" w:rsidP="00AF33ED">
      <w:pPr>
        <w:rPr>
          <w:rFonts w:cstheme="minorHAnsi"/>
          <w:b/>
        </w:rPr>
      </w:pPr>
      <w:r w:rsidRPr="003151E8">
        <w:rPr>
          <w:rFonts w:cstheme="minorHAnsi"/>
        </w:rPr>
        <w:t xml:space="preserve">Datum: </w:t>
      </w:r>
      <w:r w:rsidR="00882460">
        <w:rPr>
          <w:rFonts w:cstheme="minorHAnsi"/>
        </w:rPr>
        <w:t>1</w:t>
      </w:r>
      <w:r w:rsidR="00B91A3F">
        <w:rPr>
          <w:rFonts w:cstheme="minorHAnsi"/>
        </w:rPr>
        <w:t>4</w:t>
      </w:r>
      <w:r w:rsidR="0075291B">
        <w:rPr>
          <w:rFonts w:cstheme="minorHAnsi"/>
        </w:rPr>
        <w:t>.</w:t>
      </w:r>
      <w:r w:rsidR="003F01BE">
        <w:rPr>
          <w:rFonts w:cstheme="minorHAnsi"/>
        </w:rPr>
        <w:t xml:space="preserve"> </w:t>
      </w:r>
      <w:r w:rsidR="00882460">
        <w:rPr>
          <w:rFonts w:cstheme="minorHAnsi"/>
        </w:rPr>
        <w:t>04</w:t>
      </w:r>
      <w:r w:rsidR="0075291B">
        <w:rPr>
          <w:rFonts w:cstheme="minorHAnsi"/>
        </w:rPr>
        <w:t>.</w:t>
      </w:r>
      <w:r w:rsidR="003F01BE">
        <w:rPr>
          <w:rFonts w:cstheme="minorHAnsi"/>
        </w:rPr>
        <w:t xml:space="preserve"> </w:t>
      </w:r>
      <w:r w:rsidR="0075291B">
        <w:rPr>
          <w:rFonts w:cstheme="minorHAnsi"/>
        </w:rPr>
        <w:t>202</w:t>
      </w:r>
      <w:r w:rsidR="00882460">
        <w:rPr>
          <w:rFonts w:cstheme="minorHAnsi"/>
        </w:rPr>
        <w:t>3</w:t>
      </w:r>
      <w:r w:rsidR="003151E8">
        <w:rPr>
          <w:rFonts w:cstheme="minorHAnsi"/>
        </w:rPr>
        <w:tab/>
      </w:r>
      <w:r w:rsidR="003151E8">
        <w:rPr>
          <w:rFonts w:cstheme="minorHAnsi"/>
        </w:rPr>
        <w:tab/>
      </w:r>
      <w:r w:rsidR="003151E8">
        <w:rPr>
          <w:rFonts w:cstheme="minorHAnsi"/>
        </w:rPr>
        <w:tab/>
      </w:r>
      <w:r w:rsidR="003151E8">
        <w:rPr>
          <w:rFonts w:cstheme="minorHAnsi"/>
        </w:rPr>
        <w:tab/>
      </w:r>
      <w:r w:rsidR="003151E8">
        <w:rPr>
          <w:rFonts w:cstheme="minorHAnsi"/>
        </w:rPr>
        <w:tab/>
      </w:r>
      <w:r w:rsidR="00155BA4">
        <w:rPr>
          <w:rFonts w:cstheme="minorHAnsi"/>
        </w:rPr>
        <w:tab/>
      </w:r>
      <w:r w:rsidR="00EF4CCD">
        <w:rPr>
          <w:rFonts w:cstheme="minorHAnsi"/>
          <w:b/>
        </w:rPr>
        <w:t>xxxxxxxxxxxxxxxx</w:t>
      </w:r>
      <w:bookmarkStart w:id="0" w:name="_GoBack"/>
      <w:bookmarkEnd w:id="0"/>
    </w:p>
    <w:p w14:paraId="058096C8" w14:textId="77777777" w:rsidR="00AF33ED" w:rsidRPr="003151E8" w:rsidRDefault="00AF33ED" w:rsidP="00AF33ED">
      <w:pPr>
        <w:ind w:left="0" w:right="0" w:firstLine="0"/>
        <w:rPr>
          <w:rFonts w:cstheme="minorHAnsi"/>
        </w:rPr>
      </w:pPr>
    </w:p>
    <w:sectPr w:rsidR="00AF33ED" w:rsidRPr="003151E8" w:rsidSect="004720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927"/>
    <w:multiLevelType w:val="multilevel"/>
    <w:tmpl w:val="6C36B714"/>
    <w:lvl w:ilvl="0">
      <w:start w:val="1"/>
      <w:numFmt w:val="decimal"/>
      <w:lvlText w:val="%1."/>
      <w:lvlJc w:val="left"/>
      <w:pPr>
        <w:ind w:left="360" w:hanging="360"/>
      </w:pPr>
      <w:rPr>
        <w:rFonts w:hint="default"/>
        <w:color w:val="FFFFFF"/>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07318C"/>
    <w:multiLevelType w:val="hybridMultilevel"/>
    <w:tmpl w:val="EAC88790"/>
    <w:lvl w:ilvl="0" w:tplc="449EB7A6">
      <w:start w:val="9"/>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F93405A"/>
    <w:multiLevelType w:val="hybridMultilevel"/>
    <w:tmpl w:val="3F3AFAE8"/>
    <w:lvl w:ilvl="0" w:tplc="45428622">
      <w:start w:val="1"/>
      <w:numFmt w:val="bullet"/>
      <w:lvlText w:val="-"/>
      <w:lvlJc w:val="left"/>
      <w:pPr>
        <w:ind w:left="1210" w:hanging="360"/>
      </w:pPr>
      <w:rPr>
        <w:rFonts w:ascii="Calibri" w:eastAsiaTheme="minorHAnsi" w:hAnsi="Calibri" w:cs="Calibri"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3" w15:restartNumberingAfterBreak="0">
    <w:nsid w:val="173F0508"/>
    <w:multiLevelType w:val="hybridMultilevel"/>
    <w:tmpl w:val="DE668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AC155B"/>
    <w:multiLevelType w:val="hybridMultilevel"/>
    <w:tmpl w:val="9FCCEB08"/>
    <w:lvl w:ilvl="0" w:tplc="CB343B2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D311AF"/>
    <w:multiLevelType w:val="hybridMultilevel"/>
    <w:tmpl w:val="542EF498"/>
    <w:lvl w:ilvl="0" w:tplc="CB343B2E">
      <w:start w:val="1"/>
      <w:numFmt w:val="bullet"/>
      <w:lvlText w:val="-"/>
      <w:lvlJc w:val="left"/>
      <w:pPr>
        <w:ind w:left="501"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9674C9"/>
    <w:multiLevelType w:val="hybridMultilevel"/>
    <w:tmpl w:val="A546EF68"/>
    <w:lvl w:ilvl="0" w:tplc="0C8E197C">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815E75"/>
    <w:multiLevelType w:val="hybridMultilevel"/>
    <w:tmpl w:val="F5741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9" w15:restartNumberingAfterBreak="0">
    <w:nsid w:val="46C06F2D"/>
    <w:multiLevelType w:val="hybridMultilevel"/>
    <w:tmpl w:val="4EB4DD54"/>
    <w:lvl w:ilvl="0" w:tplc="CB343B2E">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7B95544"/>
    <w:multiLevelType w:val="multilevel"/>
    <w:tmpl w:val="62D896FA"/>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481D53"/>
    <w:multiLevelType w:val="hybridMultilevel"/>
    <w:tmpl w:val="96A010AC"/>
    <w:lvl w:ilvl="0" w:tplc="85800C3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6145CF"/>
    <w:multiLevelType w:val="hybridMultilevel"/>
    <w:tmpl w:val="D6700ACA"/>
    <w:lvl w:ilvl="0" w:tplc="CB343B2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0B6FAE"/>
    <w:multiLevelType w:val="multilevel"/>
    <w:tmpl w:val="3860069C"/>
    <w:lvl w:ilvl="0">
      <w:start w:val="1"/>
      <w:numFmt w:val="decimal"/>
      <w:lvlText w:val="%1."/>
      <w:lvlJc w:val="left"/>
      <w:pPr>
        <w:ind w:left="357" w:hanging="357"/>
      </w:pPr>
      <w:rPr>
        <w:rFonts w:hint="default"/>
        <w:b w:val="0"/>
      </w:rPr>
    </w:lvl>
    <w:lvl w:ilvl="1">
      <w:start w:val="1"/>
      <w:numFmt w:val="decimal"/>
      <w:lvlText w:val="%1.%2."/>
      <w:lvlJc w:val="left"/>
      <w:pPr>
        <w:ind w:left="357" w:hanging="357"/>
      </w:pPr>
      <w:rPr>
        <w:rFonts w:hint="default"/>
        <w:b w:val="0"/>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57E5475C"/>
    <w:multiLevelType w:val="multilevel"/>
    <w:tmpl w:val="DF56A24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E924A1"/>
    <w:multiLevelType w:val="hybridMultilevel"/>
    <w:tmpl w:val="FCE0C18E"/>
    <w:lvl w:ilvl="0" w:tplc="F354834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ED3C90"/>
    <w:multiLevelType w:val="hybridMultilevel"/>
    <w:tmpl w:val="C73CD908"/>
    <w:lvl w:ilvl="0" w:tplc="E76E1D50">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F63208C"/>
    <w:multiLevelType w:val="hybridMultilevel"/>
    <w:tmpl w:val="B66E1A48"/>
    <w:lvl w:ilvl="0" w:tplc="9E000F6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CF5E29"/>
    <w:multiLevelType w:val="hybridMultilevel"/>
    <w:tmpl w:val="19BA44E0"/>
    <w:lvl w:ilvl="0" w:tplc="B6D81F0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786FD3"/>
    <w:multiLevelType w:val="hybridMultilevel"/>
    <w:tmpl w:val="9AF4F9A0"/>
    <w:lvl w:ilvl="0" w:tplc="4070545C">
      <w:start w:val="1"/>
      <w:numFmt w:val="bullet"/>
      <w:lvlText w:val=""/>
      <w:lvlJc w:val="left"/>
      <w:pPr>
        <w:ind w:left="357" w:hanging="3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8D0519"/>
    <w:multiLevelType w:val="hybridMultilevel"/>
    <w:tmpl w:val="8B360C8A"/>
    <w:lvl w:ilvl="0" w:tplc="F3548342">
      <w:start w:val="1"/>
      <w:numFmt w:val="bullet"/>
      <w:lvlText w:val="-"/>
      <w:lvlJc w:val="left"/>
      <w:pPr>
        <w:ind w:left="357" w:hanging="357"/>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917913"/>
    <w:multiLevelType w:val="hybridMultilevel"/>
    <w:tmpl w:val="2F6E16A8"/>
    <w:lvl w:ilvl="0" w:tplc="778237C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6E3D35"/>
    <w:multiLevelType w:val="hybridMultilevel"/>
    <w:tmpl w:val="DF56A24C"/>
    <w:lvl w:ilvl="0" w:tplc="EA4C1112">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2"/>
  </w:num>
  <w:num w:numId="3">
    <w:abstractNumId w:val="14"/>
  </w:num>
  <w:num w:numId="4">
    <w:abstractNumId w:val="2"/>
  </w:num>
  <w:num w:numId="5">
    <w:abstractNumId w:val="15"/>
  </w:num>
  <w:num w:numId="6">
    <w:abstractNumId w:val="21"/>
  </w:num>
  <w:num w:numId="7">
    <w:abstractNumId w:val="17"/>
  </w:num>
  <w:num w:numId="8">
    <w:abstractNumId w:val="11"/>
  </w:num>
  <w:num w:numId="9">
    <w:abstractNumId w:val="4"/>
  </w:num>
  <w:num w:numId="10">
    <w:abstractNumId w:val="5"/>
  </w:num>
  <w:num w:numId="11">
    <w:abstractNumId w:val="5"/>
  </w:num>
  <w:num w:numId="12">
    <w:abstractNumId w:val="12"/>
  </w:num>
  <w:num w:numId="13">
    <w:abstractNumId w:val="5"/>
  </w:num>
  <w:num w:numId="14">
    <w:abstractNumId w:val="18"/>
  </w:num>
  <w:num w:numId="15">
    <w:abstractNumId w:val="9"/>
  </w:num>
  <w:num w:numId="16">
    <w:abstractNumId w:val="16"/>
  </w:num>
  <w:num w:numId="17">
    <w:abstractNumId w:val="0"/>
  </w:num>
  <w:num w:numId="18">
    <w:abstractNumId w:val="1"/>
  </w:num>
  <w:num w:numId="19">
    <w:abstractNumId w:val="3"/>
  </w:num>
  <w:num w:numId="20">
    <w:abstractNumId w:val="8"/>
  </w:num>
  <w:num w:numId="21">
    <w:abstractNumId w:val="10"/>
  </w:num>
  <w:num w:numId="22">
    <w:abstractNumId w:val="13"/>
  </w:num>
  <w:num w:numId="23">
    <w:abstractNumId w:val="7"/>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2E"/>
    <w:rsid w:val="000024D7"/>
    <w:rsid w:val="00003339"/>
    <w:rsid w:val="000049C2"/>
    <w:rsid w:val="00010743"/>
    <w:rsid w:val="0001263C"/>
    <w:rsid w:val="00015A64"/>
    <w:rsid w:val="00016FE3"/>
    <w:rsid w:val="00026FA1"/>
    <w:rsid w:val="0003043E"/>
    <w:rsid w:val="00031511"/>
    <w:rsid w:val="00032171"/>
    <w:rsid w:val="000352DF"/>
    <w:rsid w:val="00037694"/>
    <w:rsid w:val="00043597"/>
    <w:rsid w:val="00047457"/>
    <w:rsid w:val="00054971"/>
    <w:rsid w:val="0005592A"/>
    <w:rsid w:val="00057CDA"/>
    <w:rsid w:val="0006063F"/>
    <w:rsid w:val="00070FE4"/>
    <w:rsid w:val="00073ED2"/>
    <w:rsid w:val="000925EB"/>
    <w:rsid w:val="0009464C"/>
    <w:rsid w:val="000B0FEE"/>
    <w:rsid w:val="000B6B8F"/>
    <w:rsid w:val="000C40D5"/>
    <w:rsid w:val="000C6446"/>
    <w:rsid w:val="000C72E7"/>
    <w:rsid w:val="000C772E"/>
    <w:rsid w:val="000E49B7"/>
    <w:rsid w:val="000F2429"/>
    <w:rsid w:val="001047B8"/>
    <w:rsid w:val="0010726C"/>
    <w:rsid w:val="001108A8"/>
    <w:rsid w:val="00112676"/>
    <w:rsid w:val="0012396E"/>
    <w:rsid w:val="001257C2"/>
    <w:rsid w:val="001307EF"/>
    <w:rsid w:val="00132CC4"/>
    <w:rsid w:val="00146FFD"/>
    <w:rsid w:val="00152151"/>
    <w:rsid w:val="00152589"/>
    <w:rsid w:val="00152682"/>
    <w:rsid w:val="00155BA4"/>
    <w:rsid w:val="001614E8"/>
    <w:rsid w:val="001646AC"/>
    <w:rsid w:val="00164A31"/>
    <w:rsid w:val="00166326"/>
    <w:rsid w:val="00182153"/>
    <w:rsid w:val="001920D6"/>
    <w:rsid w:val="001977E7"/>
    <w:rsid w:val="001A76C2"/>
    <w:rsid w:val="001B1DCC"/>
    <w:rsid w:val="001B1DFB"/>
    <w:rsid w:val="001B3571"/>
    <w:rsid w:val="001B4119"/>
    <w:rsid w:val="001B56F1"/>
    <w:rsid w:val="001B6751"/>
    <w:rsid w:val="001D029C"/>
    <w:rsid w:val="001D178C"/>
    <w:rsid w:val="001D216D"/>
    <w:rsid w:val="001D4180"/>
    <w:rsid w:val="001E0F0D"/>
    <w:rsid w:val="001F2D9A"/>
    <w:rsid w:val="001F4CE5"/>
    <w:rsid w:val="001F7BEE"/>
    <w:rsid w:val="00201F13"/>
    <w:rsid w:val="00202C76"/>
    <w:rsid w:val="002043AD"/>
    <w:rsid w:val="002048FC"/>
    <w:rsid w:val="00206588"/>
    <w:rsid w:val="002108C7"/>
    <w:rsid w:val="00212816"/>
    <w:rsid w:val="00216559"/>
    <w:rsid w:val="0023135B"/>
    <w:rsid w:val="00233675"/>
    <w:rsid w:val="00237BBA"/>
    <w:rsid w:val="00237CF5"/>
    <w:rsid w:val="0024059C"/>
    <w:rsid w:val="0024235A"/>
    <w:rsid w:val="00242FB3"/>
    <w:rsid w:val="0024487B"/>
    <w:rsid w:val="00245081"/>
    <w:rsid w:val="002513B0"/>
    <w:rsid w:val="0025174C"/>
    <w:rsid w:val="00252158"/>
    <w:rsid w:val="00254114"/>
    <w:rsid w:val="00255B9C"/>
    <w:rsid w:val="0026297D"/>
    <w:rsid w:val="00262FFA"/>
    <w:rsid w:val="00263629"/>
    <w:rsid w:val="002640C2"/>
    <w:rsid w:val="00277F4D"/>
    <w:rsid w:val="002800CB"/>
    <w:rsid w:val="00280727"/>
    <w:rsid w:val="00281887"/>
    <w:rsid w:val="00282EB4"/>
    <w:rsid w:val="00283D60"/>
    <w:rsid w:val="0029113C"/>
    <w:rsid w:val="002932DE"/>
    <w:rsid w:val="0029578F"/>
    <w:rsid w:val="002971F6"/>
    <w:rsid w:val="002975C8"/>
    <w:rsid w:val="002A2123"/>
    <w:rsid w:val="002A3297"/>
    <w:rsid w:val="002A3DAB"/>
    <w:rsid w:val="002A6BEB"/>
    <w:rsid w:val="002B14EB"/>
    <w:rsid w:val="002B6820"/>
    <w:rsid w:val="002C4B51"/>
    <w:rsid w:val="002E0A47"/>
    <w:rsid w:val="002F6AD1"/>
    <w:rsid w:val="0030223B"/>
    <w:rsid w:val="00303114"/>
    <w:rsid w:val="00304599"/>
    <w:rsid w:val="003151E8"/>
    <w:rsid w:val="003248E4"/>
    <w:rsid w:val="00325A78"/>
    <w:rsid w:val="00327D81"/>
    <w:rsid w:val="003323DA"/>
    <w:rsid w:val="0033498C"/>
    <w:rsid w:val="003357C6"/>
    <w:rsid w:val="003446CF"/>
    <w:rsid w:val="0035004C"/>
    <w:rsid w:val="00351456"/>
    <w:rsid w:val="00351ED6"/>
    <w:rsid w:val="0035491D"/>
    <w:rsid w:val="00360B9B"/>
    <w:rsid w:val="00361A1E"/>
    <w:rsid w:val="003652BB"/>
    <w:rsid w:val="00366BF9"/>
    <w:rsid w:val="003678DB"/>
    <w:rsid w:val="00371471"/>
    <w:rsid w:val="00373B91"/>
    <w:rsid w:val="0037488C"/>
    <w:rsid w:val="00376BBF"/>
    <w:rsid w:val="0038390A"/>
    <w:rsid w:val="003849C9"/>
    <w:rsid w:val="003A3B63"/>
    <w:rsid w:val="003B6FAF"/>
    <w:rsid w:val="003C2E35"/>
    <w:rsid w:val="003C61D2"/>
    <w:rsid w:val="003D69BA"/>
    <w:rsid w:val="003E624D"/>
    <w:rsid w:val="003F01BE"/>
    <w:rsid w:val="003F69BC"/>
    <w:rsid w:val="004009C2"/>
    <w:rsid w:val="004017B3"/>
    <w:rsid w:val="00404D77"/>
    <w:rsid w:val="00410702"/>
    <w:rsid w:val="00424F89"/>
    <w:rsid w:val="0043156F"/>
    <w:rsid w:val="0043272B"/>
    <w:rsid w:val="00433B18"/>
    <w:rsid w:val="0043515E"/>
    <w:rsid w:val="00435A24"/>
    <w:rsid w:val="00437902"/>
    <w:rsid w:val="00442B2E"/>
    <w:rsid w:val="00445855"/>
    <w:rsid w:val="004602FC"/>
    <w:rsid w:val="00462B27"/>
    <w:rsid w:val="00462FDB"/>
    <w:rsid w:val="004632E3"/>
    <w:rsid w:val="00464B94"/>
    <w:rsid w:val="004657E9"/>
    <w:rsid w:val="004663BF"/>
    <w:rsid w:val="004667D9"/>
    <w:rsid w:val="00466EE1"/>
    <w:rsid w:val="004720E0"/>
    <w:rsid w:val="00474843"/>
    <w:rsid w:val="00480520"/>
    <w:rsid w:val="0048156D"/>
    <w:rsid w:val="004922F7"/>
    <w:rsid w:val="00494466"/>
    <w:rsid w:val="0049595B"/>
    <w:rsid w:val="00496819"/>
    <w:rsid w:val="004A530D"/>
    <w:rsid w:val="004A6ABD"/>
    <w:rsid w:val="004A6DCD"/>
    <w:rsid w:val="004A7A4C"/>
    <w:rsid w:val="004B16A3"/>
    <w:rsid w:val="004E24F3"/>
    <w:rsid w:val="004E3159"/>
    <w:rsid w:val="004E329C"/>
    <w:rsid w:val="004F2940"/>
    <w:rsid w:val="00501628"/>
    <w:rsid w:val="00504595"/>
    <w:rsid w:val="00505567"/>
    <w:rsid w:val="00510AB1"/>
    <w:rsid w:val="00512D0A"/>
    <w:rsid w:val="0051680B"/>
    <w:rsid w:val="00517F5A"/>
    <w:rsid w:val="005235D2"/>
    <w:rsid w:val="0052660F"/>
    <w:rsid w:val="005308DA"/>
    <w:rsid w:val="00531F0F"/>
    <w:rsid w:val="005404AF"/>
    <w:rsid w:val="005471B2"/>
    <w:rsid w:val="00550BCA"/>
    <w:rsid w:val="00552CA8"/>
    <w:rsid w:val="0056418D"/>
    <w:rsid w:val="00573174"/>
    <w:rsid w:val="00577E09"/>
    <w:rsid w:val="00583238"/>
    <w:rsid w:val="005908E5"/>
    <w:rsid w:val="00597D36"/>
    <w:rsid w:val="005A15F7"/>
    <w:rsid w:val="005C5744"/>
    <w:rsid w:val="005C5B78"/>
    <w:rsid w:val="005C6ABF"/>
    <w:rsid w:val="005D1953"/>
    <w:rsid w:val="005E064E"/>
    <w:rsid w:val="005E28A1"/>
    <w:rsid w:val="005E3BB4"/>
    <w:rsid w:val="005F1C03"/>
    <w:rsid w:val="005F2620"/>
    <w:rsid w:val="005F2EBB"/>
    <w:rsid w:val="0060083B"/>
    <w:rsid w:val="00602602"/>
    <w:rsid w:val="00610306"/>
    <w:rsid w:val="00613996"/>
    <w:rsid w:val="006164C7"/>
    <w:rsid w:val="006227D6"/>
    <w:rsid w:val="00631380"/>
    <w:rsid w:val="006319FB"/>
    <w:rsid w:val="00631EEE"/>
    <w:rsid w:val="00647905"/>
    <w:rsid w:val="00651653"/>
    <w:rsid w:val="006604AF"/>
    <w:rsid w:val="00661945"/>
    <w:rsid w:val="00662A9C"/>
    <w:rsid w:val="00664A01"/>
    <w:rsid w:val="00675DFE"/>
    <w:rsid w:val="00675F8A"/>
    <w:rsid w:val="0067782F"/>
    <w:rsid w:val="006823CB"/>
    <w:rsid w:val="0069470B"/>
    <w:rsid w:val="0069539D"/>
    <w:rsid w:val="00697F33"/>
    <w:rsid w:val="006A5863"/>
    <w:rsid w:val="006B05AE"/>
    <w:rsid w:val="006B0978"/>
    <w:rsid w:val="006B3EAD"/>
    <w:rsid w:val="006C5B63"/>
    <w:rsid w:val="006D616D"/>
    <w:rsid w:val="006D749A"/>
    <w:rsid w:val="006E154D"/>
    <w:rsid w:val="006E3EAB"/>
    <w:rsid w:val="006E5DF0"/>
    <w:rsid w:val="006F2173"/>
    <w:rsid w:val="006F798C"/>
    <w:rsid w:val="00704AF3"/>
    <w:rsid w:val="00710B82"/>
    <w:rsid w:val="007218B3"/>
    <w:rsid w:val="007346B6"/>
    <w:rsid w:val="007444FD"/>
    <w:rsid w:val="0075291B"/>
    <w:rsid w:val="007532CA"/>
    <w:rsid w:val="00756329"/>
    <w:rsid w:val="00757484"/>
    <w:rsid w:val="007717A4"/>
    <w:rsid w:val="007728A9"/>
    <w:rsid w:val="00773D38"/>
    <w:rsid w:val="007800D5"/>
    <w:rsid w:val="0078566E"/>
    <w:rsid w:val="00792548"/>
    <w:rsid w:val="00793E83"/>
    <w:rsid w:val="00794633"/>
    <w:rsid w:val="007A2A01"/>
    <w:rsid w:val="007A318E"/>
    <w:rsid w:val="007A4E65"/>
    <w:rsid w:val="007A61A9"/>
    <w:rsid w:val="007A621F"/>
    <w:rsid w:val="007A7E9D"/>
    <w:rsid w:val="007B0A92"/>
    <w:rsid w:val="007B528C"/>
    <w:rsid w:val="007D1B48"/>
    <w:rsid w:val="007D61DA"/>
    <w:rsid w:val="007D7161"/>
    <w:rsid w:val="007E25E1"/>
    <w:rsid w:val="007E6254"/>
    <w:rsid w:val="007F26E4"/>
    <w:rsid w:val="007F5643"/>
    <w:rsid w:val="00801011"/>
    <w:rsid w:val="00802843"/>
    <w:rsid w:val="00802C44"/>
    <w:rsid w:val="0080488D"/>
    <w:rsid w:val="0081645A"/>
    <w:rsid w:val="008164D0"/>
    <w:rsid w:val="00821F72"/>
    <w:rsid w:val="00823D33"/>
    <w:rsid w:val="008329DB"/>
    <w:rsid w:val="00833369"/>
    <w:rsid w:val="00851E84"/>
    <w:rsid w:val="0085375E"/>
    <w:rsid w:val="00857299"/>
    <w:rsid w:val="00862D48"/>
    <w:rsid w:val="00864496"/>
    <w:rsid w:val="00867077"/>
    <w:rsid w:val="0087559A"/>
    <w:rsid w:val="00876BA5"/>
    <w:rsid w:val="00877502"/>
    <w:rsid w:val="0088149C"/>
    <w:rsid w:val="00882460"/>
    <w:rsid w:val="00882917"/>
    <w:rsid w:val="00883785"/>
    <w:rsid w:val="008853FE"/>
    <w:rsid w:val="00885BFE"/>
    <w:rsid w:val="00886D29"/>
    <w:rsid w:val="00892B74"/>
    <w:rsid w:val="00894850"/>
    <w:rsid w:val="008A37E2"/>
    <w:rsid w:val="008A5F3A"/>
    <w:rsid w:val="008A7366"/>
    <w:rsid w:val="008B1A6E"/>
    <w:rsid w:val="008B438D"/>
    <w:rsid w:val="008C34C4"/>
    <w:rsid w:val="008D08B2"/>
    <w:rsid w:val="008D2305"/>
    <w:rsid w:val="008D372E"/>
    <w:rsid w:val="008E53EA"/>
    <w:rsid w:val="008E792F"/>
    <w:rsid w:val="008E7D14"/>
    <w:rsid w:val="008E7D32"/>
    <w:rsid w:val="008F20BB"/>
    <w:rsid w:val="00902EEC"/>
    <w:rsid w:val="00904AC4"/>
    <w:rsid w:val="00904DDA"/>
    <w:rsid w:val="00913A00"/>
    <w:rsid w:val="009149C4"/>
    <w:rsid w:val="00922AC7"/>
    <w:rsid w:val="00924808"/>
    <w:rsid w:val="009261D0"/>
    <w:rsid w:val="009268BC"/>
    <w:rsid w:val="009317BC"/>
    <w:rsid w:val="00936539"/>
    <w:rsid w:val="00940E6E"/>
    <w:rsid w:val="00942B27"/>
    <w:rsid w:val="00944154"/>
    <w:rsid w:val="00944CDA"/>
    <w:rsid w:val="00945A56"/>
    <w:rsid w:val="00946F28"/>
    <w:rsid w:val="00955CE5"/>
    <w:rsid w:val="00960EEA"/>
    <w:rsid w:val="00972213"/>
    <w:rsid w:val="00973CF8"/>
    <w:rsid w:val="00977691"/>
    <w:rsid w:val="00982512"/>
    <w:rsid w:val="0098430B"/>
    <w:rsid w:val="00984C0A"/>
    <w:rsid w:val="00984F76"/>
    <w:rsid w:val="00991F91"/>
    <w:rsid w:val="009931B1"/>
    <w:rsid w:val="009A5D04"/>
    <w:rsid w:val="009A67F5"/>
    <w:rsid w:val="009B3EA7"/>
    <w:rsid w:val="009C5CB2"/>
    <w:rsid w:val="009D60EB"/>
    <w:rsid w:val="009E240F"/>
    <w:rsid w:val="00A01964"/>
    <w:rsid w:val="00A023C0"/>
    <w:rsid w:val="00A06BA4"/>
    <w:rsid w:val="00A11B4F"/>
    <w:rsid w:val="00A12BEB"/>
    <w:rsid w:val="00A17958"/>
    <w:rsid w:val="00A20721"/>
    <w:rsid w:val="00A24E52"/>
    <w:rsid w:val="00A303E4"/>
    <w:rsid w:val="00A40EE7"/>
    <w:rsid w:val="00A428C7"/>
    <w:rsid w:val="00A43D9C"/>
    <w:rsid w:val="00A513BB"/>
    <w:rsid w:val="00A52034"/>
    <w:rsid w:val="00A61045"/>
    <w:rsid w:val="00A62151"/>
    <w:rsid w:val="00A65444"/>
    <w:rsid w:val="00A70980"/>
    <w:rsid w:val="00A7673E"/>
    <w:rsid w:val="00A77C81"/>
    <w:rsid w:val="00A814EA"/>
    <w:rsid w:val="00A82E68"/>
    <w:rsid w:val="00A84721"/>
    <w:rsid w:val="00A869EE"/>
    <w:rsid w:val="00A879A5"/>
    <w:rsid w:val="00AA3146"/>
    <w:rsid w:val="00AA6D1F"/>
    <w:rsid w:val="00AB0C1F"/>
    <w:rsid w:val="00AB3FF8"/>
    <w:rsid w:val="00AB5A4D"/>
    <w:rsid w:val="00AC3E29"/>
    <w:rsid w:val="00AC6602"/>
    <w:rsid w:val="00AD22CF"/>
    <w:rsid w:val="00AD2AD6"/>
    <w:rsid w:val="00AE4A19"/>
    <w:rsid w:val="00AF1377"/>
    <w:rsid w:val="00AF2DA1"/>
    <w:rsid w:val="00AF33ED"/>
    <w:rsid w:val="00AF4BCE"/>
    <w:rsid w:val="00AF4F3C"/>
    <w:rsid w:val="00AF60FE"/>
    <w:rsid w:val="00B02DC6"/>
    <w:rsid w:val="00B136E4"/>
    <w:rsid w:val="00B15579"/>
    <w:rsid w:val="00B16937"/>
    <w:rsid w:val="00B2404C"/>
    <w:rsid w:val="00B25BAD"/>
    <w:rsid w:val="00B304CE"/>
    <w:rsid w:val="00B34E82"/>
    <w:rsid w:val="00B42F6A"/>
    <w:rsid w:val="00B46F1A"/>
    <w:rsid w:val="00B47C5B"/>
    <w:rsid w:val="00B56AEB"/>
    <w:rsid w:val="00B66AAF"/>
    <w:rsid w:val="00B71E35"/>
    <w:rsid w:val="00B74027"/>
    <w:rsid w:val="00B75428"/>
    <w:rsid w:val="00B83776"/>
    <w:rsid w:val="00B86D15"/>
    <w:rsid w:val="00B91A3F"/>
    <w:rsid w:val="00BA1F9E"/>
    <w:rsid w:val="00BC3747"/>
    <w:rsid w:val="00BD1138"/>
    <w:rsid w:val="00BD4C2E"/>
    <w:rsid w:val="00BD53BA"/>
    <w:rsid w:val="00BD631C"/>
    <w:rsid w:val="00BE1CAD"/>
    <w:rsid w:val="00BE217A"/>
    <w:rsid w:val="00BE3FF7"/>
    <w:rsid w:val="00BE5238"/>
    <w:rsid w:val="00BE5DA5"/>
    <w:rsid w:val="00BF039C"/>
    <w:rsid w:val="00BF0518"/>
    <w:rsid w:val="00BF0BAF"/>
    <w:rsid w:val="00BF7A1B"/>
    <w:rsid w:val="00C024AE"/>
    <w:rsid w:val="00C1117E"/>
    <w:rsid w:val="00C15914"/>
    <w:rsid w:val="00C15986"/>
    <w:rsid w:val="00C207C9"/>
    <w:rsid w:val="00C22B4B"/>
    <w:rsid w:val="00C23F77"/>
    <w:rsid w:val="00C25620"/>
    <w:rsid w:val="00C25A5E"/>
    <w:rsid w:val="00C27BC6"/>
    <w:rsid w:val="00C407F9"/>
    <w:rsid w:val="00C4368D"/>
    <w:rsid w:val="00C443A8"/>
    <w:rsid w:val="00C46652"/>
    <w:rsid w:val="00C470AC"/>
    <w:rsid w:val="00C51B19"/>
    <w:rsid w:val="00C60929"/>
    <w:rsid w:val="00C632A1"/>
    <w:rsid w:val="00C73523"/>
    <w:rsid w:val="00C7472D"/>
    <w:rsid w:val="00C74E4A"/>
    <w:rsid w:val="00C91DB8"/>
    <w:rsid w:val="00C95C5D"/>
    <w:rsid w:val="00CA33AC"/>
    <w:rsid w:val="00CA6A5E"/>
    <w:rsid w:val="00CB4F90"/>
    <w:rsid w:val="00CB6165"/>
    <w:rsid w:val="00CB641D"/>
    <w:rsid w:val="00CB64AC"/>
    <w:rsid w:val="00CB71AB"/>
    <w:rsid w:val="00CC0D86"/>
    <w:rsid w:val="00CC5025"/>
    <w:rsid w:val="00CC6999"/>
    <w:rsid w:val="00CD2377"/>
    <w:rsid w:val="00CD4400"/>
    <w:rsid w:val="00CD4CD3"/>
    <w:rsid w:val="00CE0599"/>
    <w:rsid w:val="00CE1F6A"/>
    <w:rsid w:val="00CF11B3"/>
    <w:rsid w:val="00CF4CAF"/>
    <w:rsid w:val="00CF5CF5"/>
    <w:rsid w:val="00D030AC"/>
    <w:rsid w:val="00D03A62"/>
    <w:rsid w:val="00D03D1A"/>
    <w:rsid w:val="00D062D9"/>
    <w:rsid w:val="00D066C5"/>
    <w:rsid w:val="00D13165"/>
    <w:rsid w:val="00D1342B"/>
    <w:rsid w:val="00D15FC5"/>
    <w:rsid w:val="00D166EF"/>
    <w:rsid w:val="00D174BF"/>
    <w:rsid w:val="00D21F9E"/>
    <w:rsid w:val="00D22064"/>
    <w:rsid w:val="00D24200"/>
    <w:rsid w:val="00D32171"/>
    <w:rsid w:val="00D32AC1"/>
    <w:rsid w:val="00D34D06"/>
    <w:rsid w:val="00D357DF"/>
    <w:rsid w:val="00D36928"/>
    <w:rsid w:val="00D62EE9"/>
    <w:rsid w:val="00D63FD5"/>
    <w:rsid w:val="00D644BB"/>
    <w:rsid w:val="00D67D52"/>
    <w:rsid w:val="00D703FD"/>
    <w:rsid w:val="00D71DDB"/>
    <w:rsid w:val="00D775DF"/>
    <w:rsid w:val="00D8291C"/>
    <w:rsid w:val="00D83652"/>
    <w:rsid w:val="00D877BD"/>
    <w:rsid w:val="00D91A59"/>
    <w:rsid w:val="00D968AA"/>
    <w:rsid w:val="00D97843"/>
    <w:rsid w:val="00DA0BB8"/>
    <w:rsid w:val="00DA229E"/>
    <w:rsid w:val="00DA4157"/>
    <w:rsid w:val="00DA58BE"/>
    <w:rsid w:val="00DA6A46"/>
    <w:rsid w:val="00DC2684"/>
    <w:rsid w:val="00DC737E"/>
    <w:rsid w:val="00DD236A"/>
    <w:rsid w:val="00DD63C0"/>
    <w:rsid w:val="00DD7285"/>
    <w:rsid w:val="00DE2ABA"/>
    <w:rsid w:val="00DE2BC5"/>
    <w:rsid w:val="00DE33D8"/>
    <w:rsid w:val="00DE60E4"/>
    <w:rsid w:val="00DE61ED"/>
    <w:rsid w:val="00DE70F3"/>
    <w:rsid w:val="00DF2086"/>
    <w:rsid w:val="00DF679F"/>
    <w:rsid w:val="00E02CFD"/>
    <w:rsid w:val="00E06FC5"/>
    <w:rsid w:val="00E07E12"/>
    <w:rsid w:val="00E113A2"/>
    <w:rsid w:val="00E21404"/>
    <w:rsid w:val="00E23BF9"/>
    <w:rsid w:val="00E3150A"/>
    <w:rsid w:val="00E32DAD"/>
    <w:rsid w:val="00E34731"/>
    <w:rsid w:val="00E4232D"/>
    <w:rsid w:val="00E45C5A"/>
    <w:rsid w:val="00E539DC"/>
    <w:rsid w:val="00E550D3"/>
    <w:rsid w:val="00E5700A"/>
    <w:rsid w:val="00E60E2F"/>
    <w:rsid w:val="00E61B59"/>
    <w:rsid w:val="00E7080A"/>
    <w:rsid w:val="00E70DE1"/>
    <w:rsid w:val="00E768E5"/>
    <w:rsid w:val="00E85D18"/>
    <w:rsid w:val="00E87147"/>
    <w:rsid w:val="00E8724C"/>
    <w:rsid w:val="00E87DEE"/>
    <w:rsid w:val="00EA772A"/>
    <w:rsid w:val="00EB1EE7"/>
    <w:rsid w:val="00EB3477"/>
    <w:rsid w:val="00EB41C9"/>
    <w:rsid w:val="00EB5F1C"/>
    <w:rsid w:val="00EB70C4"/>
    <w:rsid w:val="00EC1514"/>
    <w:rsid w:val="00EC25F6"/>
    <w:rsid w:val="00EC30B3"/>
    <w:rsid w:val="00EC6CA9"/>
    <w:rsid w:val="00EC6FEE"/>
    <w:rsid w:val="00ED2B3F"/>
    <w:rsid w:val="00EE17CF"/>
    <w:rsid w:val="00EE4B0B"/>
    <w:rsid w:val="00EE517B"/>
    <w:rsid w:val="00EF19F9"/>
    <w:rsid w:val="00EF4CCD"/>
    <w:rsid w:val="00EF6B7E"/>
    <w:rsid w:val="00EF6E82"/>
    <w:rsid w:val="00F100BB"/>
    <w:rsid w:val="00F12B66"/>
    <w:rsid w:val="00F27A84"/>
    <w:rsid w:val="00F3076E"/>
    <w:rsid w:val="00F30D02"/>
    <w:rsid w:val="00F31500"/>
    <w:rsid w:val="00F36768"/>
    <w:rsid w:val="00F36E28"/>
    <w:rsid w:val="00F42C13"/>
    <w:rsid w:val="00F44BE2"/>
    <w:rsid w:val="00F4646F"/>
    <w:rsid w:val="00F51233"/>
    <w:rsid w:val="00F53330"/>
    <w:rsid w:val="00F622AC"/>
    <w:rsid w:val="00F641C8"/>
    <w:rsid w:val="00F700C8"/>
    <w:rsid w:val="00F7536C"/>
    <w:rsid w:val="00F8285F"/>
    <w:rsid w:val="00F86AA9"/>
    <w:rsid w:val="00F879C0"/>
    <w:rsid w:val="00F87BA3"/>
    <w:rsid w:val="00F901FF"/>
    <w:rsid w:val="00F90530"/>
    <w:rsid w:val="00F908BB"/>
    <w:rsid w:val="00F94AE5"/>
    <w:rsid w:val="00F94BE9"/>
    <w:rsid w:val="00FA4187"/>
    <w:rsid w:val="00FA6E1A"/>
    <w:rsid w:val="00FB13AA"/>
    <w:rsid w:val="00FB16D2"/>
    <w:rsid w:val="00FB3F9B"/>
    <w:rsid w:val="00FB4EA8"/>
    <w:rsid w:val="00FB6107"/>
    <w:rsid w:val="00FC025B"/>
    <w:rsid w:val="00FC13A3"/>
    <w:rsid w:val="00FC2951"/>
    <w:rsid w:val="00FE04BB"/>
    <w:rsid w:val="00FE0926"/>
    <w:rsid w:val="00FE288B"/>
    <w:rsid w:val="00FE41A5"/>
    <w:rsid w:val="00FE6A34"/>
    <w:rsid w:val="00FE71C1"/>
    <w:rsid w:val="00FF105E"/>
    <w:rsid w:val="00FF1C7A"/>
    <w:rsid w:val="00FF3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FCB3"/>
  <w15:chartTrackingRefBased/>
  <w15:docId w15:val="{67438028-5AE9-4E59-98F5-C6FD2A8D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4C2E"/>
    <w:pPr>
      <w:spacing w:after="0" w:line="240" w:lineRule="auto"/>
      <w:ind w:left="2155" w:right="-284" w:hanging="2155"/>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D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3150A"/>
    <w:pPr>
      <w:ind w:left="720"/>
      <w:contextualSpacing/>
    </w:pPr>
  </w:style>
  <w:style w:type="paragraph" w:styleId="Textbubliny">
    <w:name w:val="Balloon Text"/>
    <w:basedOn w:val="Normln"/>
    <w:link w:val="TextbublinyChar"/>
    <w:uiPriority w:val="99"/>
    <w:semiHidden/>
    <w:unhideWhenUsed/>
    <w:rsid w:val="00E768E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68E5"/>
    <w:rPr>
      <w:rFonts w:ascii="Segoe UI" w:hAnsi="Segoe UI" w:cs="Segoe UI"/>
      <w:sz w:val="18"/>
      <w:szCs w:val="18"/>
    </w:rPr>
  </w:style>
  <w:style w:type="character" w:styleId="Odkaznakoment">
    <w:name w:val="annotation reference"/>
    <w:basedOn w:val="Standardnpsmoodstavce"/>
    <w:uiPriority w:val="99"/>
    <w:semiHidden/>
    <w:unhideWhenUsed/>
    <w:rsid w:val="00C27BC6"/>
    <w:rPr>
      <w:sz w:val="16"/>
      <w:szCs w:val="16"/>
    </w:rPr>
  </w:style>
  <w:style w:type="paragraph" w:styleId="Textkomente">
    <w:name w:val="annotation text"/>
    <w:basedOn w:val="Normln"/>
    <w:link w:val="TextkomenteChar"/>
    <w:uiPriority w:val="99"/>
    <w:semiHidden/>
    <w:unhideWhenUsed/>
    <w:rsid w:val="00C27BC6"/>
    <w:rPr>
      <w:sz w:val="20"/>
      <w:szCs w:val="20"/>
    </w:rPr>
  </w:style>
  <w:style w:type="character" w:customStyle="1" w:styleId="TextkomenteChar">
    <w:name w:val="Text komentáře Char"/>
    <w:basedOn w:val="Standardnpsmoodstavce"/>
    <w:link w:val="Textkomente"/>
    <w:uiPriority w:val="99"/>
    <w:semiHidden/>
    <w:rsid w:val="00C27BC6"/>
    <w:rPr>
      <w:sz w:val="20"/>
      <w:szCs w:val="20"/>
    </w:rPr>
  </w:style>
  <w:style w:type="paragraph" w:styleId="Pedmtkomente">
    <w:name w:val="annotation subject"/>
    <w:basedOn w:val="Textkomente"/>
    <w:next w:val="Textkomente"/>
    <w:link w:val="PedmtkomenteChar"/>
    <w:uiPriority w:val="99"/>
    <w:semiHidden/>
    <w:unhideWhenUsed/>
    <w:rsid w:val="00C27BC6"/>
    <w:rPr>
      <w:b/>
      <w:bCs/>
    </w:rPr>
  </w:style>
  <w:style w:type="character" w:customStyle="1" w:styleId="PedmtkomenteChar">
    <w:name w:val="Předmět komentáře Char"/>
    <w:basedOn w:val="TextkomenteChar"/>
    <w:link w:val="Pedmtkomente"/>
    <w:uiPriority w:val="99"/>
    <w:semiHidden/>
    <w:rsid w:val="00C27BC6"/>
    <w:rPr>
      <w:b/>
      <w:bCs/>
      <w:sz w:val="20"/>
      <w:szCs w:val="20"/>
    </w:rPr>
  </w:style>
  <w:style w:type="paragraph" w:styleId="Nzev">
    <w:name w:val="Title"/>
    <w:basedOn w:val="Normln"/>
    <w:link w:val="NzevChar"/>
    <w:uiPriority w:val="99"/>
    <w:qFormat/>
    <w:rsid w:val="001B56F1"/>
    <w:pPr>
      <w:numPr>
        <w:numId w:val="20"/>
      </w:numPr>
      <w:ind w:right="0"/>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1B56F1"/>
    <w:rPr>
      <w:rFonts w:ascii="Calibri" w:eastAsia="Calibri" w:hAnsi="Calibri" w:cs="Calibri"/>
      <w:sz w:val="20"/>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840">
      <w:bodyDiv w:val="1"/>
      <w:marLeft w:val="0"/>
      <w:marRight w:val="0"/>
      <w:marTop w:val="0"/>
      <w:marBottom w:val="0"/>
      <w:divBdr>
        <w:top w:val="none" w:sz="0" w:space="0" w:color="auto"/>
        <w:left w:val="none" w:sz="0" w:space="0" w:color="auto"/>
        <w:bottom w:val="none" w:sz="0" w:space="0" w:color="auto"/>
        <w:right w:val="none" w:sz="0" w:space="0" w:color="auto"/>
      </w:divBdr>
    </w:div>
    <w:div w:id="70588133">
      <w:bodyDiv w:val="1"/>
      <w:marLeft w:val="0"/>
      <w:marRight w:val="0"/>
      <w:marTop w:val="0"/>
      <w:marBottom w:val="0"/>
      <w:divBdr>
        <w:top w:val="none" w:sz="0" w:space="0" w:color="auto"/>
        <w:left w:val="none" w:sz="0" w:space="0" w:color="auto"/>
        <w:bottom w:val="none" w:sz="0" w:space="0" w:color="auto"/>
        <w:right w:val="none" w:sz="0" w:space="0" w:color="auto"/>
      </w:divBdr>
    </w:div>
    <w:div w:id="163517647">
      <w:bodyDiv w:val="1"/>
      <w:marLeft w:val="0"/>
      <w:marRight w:val="0"/>
      <w:marTop w:val="0"/>
      <w:marBottom w:val="0"/>
      <w:divBdr>
        <w:top w:val="none" w:sz="0" w:space="0" w:color="auto"/>
        <w:left w:val="none" w:sz="0" w:space="0" w:color="auto"/>
        <w:bottom w:val="none" w:sz="0" w:space="0" w:color="auto"/>
        <w:right w:val="none" w:sz="0" w:space="0" w:color="auto"/>
      </w:divBdr>
    </w:div>
    <w:div w:id="291988082">
      <w:bodyDiv w:val="1"/>
      <w:marLeft w:val="0"/>
      <w:marRight w:val="0"/>
      <w:marTop w:val="0"/>
      <w:marBottom w:val="0"/>
      <w:divBdr>
        <w:top w:val="none" w:sz="0" w:space="0" w:color="auto"/>
        <w:left w:val="none" w:sz="0" w:space="0" w:color="auto"/>
        <w:bottom w:val="none" w:sz="0" w:space="0" w:color="auto"/>
        <w:right w:val="none" w:sz="0" w:space="0" w:color="auto"/>
      </w:divBdr>
    </w:div>
    <w:div w:id="324552360">
      <w:bodyDiv w:val="1"/>
      <w:marLeft w:val="0"/>
      <w:marRight w:val="0"/>
      <w:marTop w:val="0"/>
      <w:marBottom w:val="0"/>
      <w:divBdr>
        <w:top w:val="none" w:sz="0" w:space="0" w:color="auto"/>
        <w:left w:val="none" w:sz="0" w:space="0" w:color="auto"/>
        <w:bottom w:val="none" w:sz="0" w:space="0" w:color="auto"/>
        <w:right w:val="none" w:sz="0" w:space="0" w:color="auto"/>
      </w:divBdr>
    </w:div>
    <w:div w:id="416369314">
      <w:bodyDiv w:val="1"/>
      <w:marLeft w:val="0"/>
      <w:marRight w:val="0"/>
      <w:marTop w:val="0"/>
      <w:marBottom w:val="0"/>
      <w:divBdr>
        <w:top w:val="none" w:sz="0" w:space="0" w:color="auto"/>
        <w:left w:val="none" w:sz="0" w:space="0" w:color="auto"/>
        <w:bottom w:val="none" w:sz="0" w:space="0" w:color="auto"/>
        <w:right w:val="none" w:sz="0" w:space="0" w:color="auto"/>
      </w:divBdr>
    </w:div>
    <w:div w:id="509878197">
      <w:bodyDiv w:val="1"/>
      <w:marLeft w:val="0"/>
      <w:marRight w:val="0"/>
      <w:marTop w:val="0"/>
      <w:marBottom w:val="0"/>
      <w:divBdr>
        <w:top w:val="none" w:sz="0" w:space="0" w:color="auto"/>
        <w:left w:val="none" w:sz="0" w:space="0" w:color="auto"/>
        <w:bottom w:val="none" w:sz="0" w:space="0" w:color="auto"/>
        <w:right w:val="none" w:sz="0" w:space="0" w:color="auto"/>
      </w:divBdr>
    </w:div>
    <w:div w:id="596909977">
      <w:bodyDiv w:val="1"/>
      <w:marLeft w:val="0"/>
      <w:marRight w:val="0"/>
      <w:marTop w:val="0"/>
      <w:marBottom w:val="0"/>
      <w:divBdr>
        <w:top w:val="none" w:sz="0" w:space="0" w:color="auto"/>
        <w:left w:val="none" w:sz="0" w:space="0" w:color="auto"/>
        <w:bottom w:val="none" w:sz="0" w:space="0" w:color="auto"/>
        <w:right w:val="none" w:sz="0" w:space="0" w:color="auto"/>
      </w:divBdr>
    </w:div>
    <w:div w:id="713045149">
      <w:bodyDiv w:val="1"/>
      <w:marLeft w:val="0"/>
      <w:marRight w:val="0"/>
      <w:marTop w:val="0"/>
      <w:marBottom w:val="0"/>
      <w:divBdr>
        <w:top w:val="none" w:sz="0" w:space="0" w:color="auto"/>
        <w:left w:val="none" w:sz="0" w:space="0" w:color="auto"/>
        <w:bottom w:val="none" w:sz="0" w:space="0" w:color="auto"/>
        <w:right w:val="none" w:sz="0" w:space="0" w:color="auto"/>
      </w:divBdr>
    </w:div>
    <w:div w:id="765612284">
      <w:bodyDiv w:val="1"/>
      <w:marLeft w:val="0"/>
      <w:marRight w:val="0"/>
      <w:marTop w:val="0"/>
      <w:marBottom w:val="0"/>
      <w:divBdr>
        <w:top w:val="none" w:sz="0" w:space="0" w:color="auto"/>
        <w:left w:val="none" w:sz="0" w:space="0" w:color="auto"/>
        <w:bottom w:val="none" w:sz="0" w:space="0" w:color="auto"/>
        <w:right w:val="none" w:sz="0" w:space="0" w:color="auto"/>
      </w:divBdr>
    </w:div>
    <w:div w:id="950669871">
      <w:bodyDiv w:val="1"/>
      <w:marLeft w:val="0"/>
      <w:marRight w:val="0"/>
      <w:marTop w:val="0"/>
      <w:marBottom w:val="0"/>
      <w:divBdr>
        <w:top w:val="none" w:sz="0" w:space="0" w:color="auto"/>
        <w:left w:val="none" w:sz="0" w:space="0" w:color="auto"/>
        <w:bottom w:val="none" w:sz="0" w:space="0" w:color="auto"/>
        <w:right w:val="none" w:sz="0" w:space="0" w:color="auto"/>
      </w:divBdr>
    </w:div>
    <w:div w:id="1124806091">
      <w:bodyDiv w:val="1"/>
      <w:marLeft w:val="0"/>
      <w:marRight w:val="0"/>
      <w:marTop w:val="0"/>
      <w:marBottom w:val="0"/>
      <w:divBdr>
        <w:top w:val="none" w:sz="0" w:space="0" w:color="auto"/>
        <w:left w:val="none" w:sz="0" w:space="0" w:color="auto"/>
        <w:bottom w:val="none" w:sz="0" w:space="0" w:color="auto"/>
        <w:right w:val="none" w:sz="0" w:space="0" w:color="auto"/>
      </w:divBdr>
    </w:div>
    <w:div w:id="1332022370">
      <w:bodyDiv w:val="1"/>
      <w:marLeft w:val="0"/>
      <w:marRight w:val="0"/>
      <w:marTop w:val="0"/>
      <w:marBottom w:val="0"/>
      <w:divBdr>
        <w:top w:val="none" w:sz="0" w:space="0" w:color="auto"/>
        <w:left w:val="none" w:sz="0" w:space="0" w:color="auto"/>
        <w:bottom w:val="none" w:sz="0" w:space="0" w:color="auto"/>
        <w:right w:val="none" w:sz="0" w:space="0" w:color="auto"/>
      </w:divBdr>
    </w:div>
    <w:div w:id="1419249544">
      <w:bodyDiv w:val="1"/>
      <w:marLeft w:val="0"/>
      <w:marRight w:val="0"/>
      <w:marTop w:val="0"/>
      <w:marBottom w:val="0"/>
      <w:divBdr>
        <w:top w:val="none" w:sz="0" w:space="0" w:color="auto"/>
        <w:left w:val="none" w:sz="0" w:space="0" w:color="auto"/>
        <w:bottom w:val="none" w:sz="0" w:space="0" w:color="auto"/>
        <w:right w:val="none" w:sz="0" w:space="0" w:color="auto"/>
      </w:divBdr>
    </w:div>
    <w:div w:id="1507328219">
      <w:bodyDiv w:val="1"/>
      <w:marLeft w:val="0"/>
      <w:marRight w:val="0"/>
      <w:marTop w:val="0"/>
      <w:marBottom w:val="0"/>
      <w:divBdr>
        <w:top w:val="none" w:sz="0" w:space="0" w:color="auto"/>
        <w:left w:val="none" w:sz="0" w:space="0" w:color="auto"/>
        <w:bottom w:val="none" w:sz="0" w:space="0" w:color="auto"/>
        <w:right w:val="none" w:sz="0" w:space="0" w:color="auto"/>
      </w:divBdr>
    </w:div>
    <w:div w:id="1561137652">
      <w:bodyDiv w:val="1"/>
      <w:marLeft w:val="0"/>
      <w:marRight w:val="0"/>
      <w:marTop w:val="0"/>
      <w:marBottom w:val="0"/>
      <w:divBdr>
        <w:top w:val="none" w:sz="0" w:space="0" w:color="auto"/>
        <w:left w:val="none" w:sz="0" w:space="0" w:color="auto"/>
        <w:bottom w:val="none" w:sz="0" w:space="0" w:color="auto"/>
        <w:right w:val="none" w:sz="0" w:space="0" w:color="auto"/>
      </w:divBdr>
    </w:div>
    <w:div w:id="15977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982</Words>
  <Characters>5797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24</cp:revision>
  <cp:lastPrinted>2020-07-02T12:04:00Z</cp:lastPrinted>
  <dcterms:created xsi:type="dcterms:W3CDTF">2023-04-17T07:49:00Z</dcterms:created>
  <dcterms:modified xsi:type="dcterms:W3CDTF">2023-04-25T07:18:00Z</dcterms:modified>
</cp:coreProperties>
</file>