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2350" w14:textId="14491F3E" w:rsidR="008123F5" w:rsidRDefault="001A5BDD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59AD728D" w14:textId="77777777" w:rsidR="008123F5" w:rsidRDefault="001A5BDD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6E1077CB" w14:textId="77777777" w:rsidR="008123F5" w:rsidRDefault="001A5BDD">
      <w:pPr>
        <w:jc w:val="center"/>
        <w:rPr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22RGI01-0206</w:t>
      </w:r>
      <w:r>
        <w:fldChar w:fldCharType="end"/>
      </w:r>
      <w:r>
        <w:rPr>
          <w:sz w:val="24"/>
        </w:rPr>
        <w:t xml:space="preserve"> </w:t>
      </w:r>
    </w:p>
    <w:p w14:paraId="08D08828" w14:textId="77777777" w:rsidR="008123F5" w:rsidRDefault="001A5BDD">
      <w:pPr>
        <w:jc w:val="center"/>
        <w:rPr>
          <w:b/>
          <w:sz w:val="24"/>
        </w:rPr>
      </w:pPr>
      <w:r>
        <w:rPr>
          <w:b/>
          <w:sz w:val="24"/>
        </w:rPr>
        <w:t>v režimu de minimis</w:t>
      </w:r>
    </w:p>
    <w:p w14:paraId="43041F1A" w14:textId="77777777" w:rsidR="008123F5" w:rsidRDefault="008123F5">
      <w:pPr>
        <w:jc w:val="center"/>
        <w:rPr>
          <w:b/>
        </w:rPr>
      </w:pPr>
    </w:p>
    <w:p w14:paraId="102A079C" w14:textId="77777777" w:rsidR="008123F5" w:rsidRDefault="001A5BDD">
      <w:pPr>
        <w:jc w:val="both"/>
      </w:pPr>
      <w:r>
        <w:t xml:space="preserve">kterou v souladu s ustanovením § 10a odst. (3) a (5) zákona č. 250/2000 Sb., o </w:t>
      </w:r>
      <w:r>
        <w:t>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</w:t>
      </w:r>
      <w:r>
        <w:t xml:space="preserve"> pozdějších předpisů, uzavřely tyto smluvní strany:</w:t>
      </w:r>
    </w:p>
    <w:p w14:paraId="37729303" w14:textId="77777777" w:rsidR="008123F5" w:rsidRDefault="008123F5">
      <w:pPr>
        <w:jc w:val="center"/>
      </w:pPr>
    </w:p>
    <w:p w14:paraId="417E9B6D" w14:textId="77777777" w:rsidR="008123F5" w:rsidRDefault="001A5BDD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8123F5" w14:paraId="58E83CF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11D8D6C" w14:textId="77777777" w:rsidR="008123F5" w:rsidRDefault="001A5BDD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5C7467E" w14:textId="77777777" w:rsidR="008123F5" w:rsidRDefault="001A5BDD">
            <w:r>
              <w:t>Pivovarské náměstí 1245, 500 03 Hradec Králové</w:t>
            </w:r>
          </w:p>
        </w:tc>
      </w:tr>
      <w:tr w:rsidR="008123F5" w14:paraId="6E8887F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076DC57" w14:textId="77777777" w:rsidR="008123F5" w:rsidRDefault="001A5BDD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AEFD9EF" w14:textId="77777777" w:rsidR="008123F5" w:rsidRDefault="001A5BDD">
            <w:r>
              <w:t>Mgr. Martin Červíček, hejtman Královéhradeckého kraje</w:t>
            </w:r>
          </w:p>
        </w:tc>
      </w:tr>
      <w:tr w:rsidR="008123F5" w14:paraId="41CC304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6D58014" w14:textId="77777777" w:rsidR="008123F5" w:rsidRDefault="001A5BDD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79F354A" w14:textId="77777777" w:rsidR="008123F5" w:rsidRDefault="001A5BDD">
            <w:r>
              <w:t>70889546</w:t>
            </w:r>
          </w:p>
        </w:tc>
      </w:tr>
      <w:tr w:rsidR="008123F5" w14:paraId="0ED3C85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165BA56" w14:textId="77777777" w:rsidR="008123F5" w:rsidRDefault="001A5BDD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6AA5034" w14:textId="77777777" w:rsidR="008123F5" w:rsidRDefault="001A5BDD">
            <w:r>
              <w:t>107-4153</w:t>
            </w:r>
            <w:r>
              <w:t>480277/0100</w:t>
            </w:r>
          </w:p>
        </w:tc>
      </w:tr>
    </w:tbl>
    <w:p w14:paraId="6DBA59B8" w14:textId="77777777" w:rsidR="008123F5" w:rsidRDefault="001A5BDD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31774</w:t>
      </w:r>
      <w:r>
        <w:fldChar w:fldCharType="end"/>
      </w:r>
    </w:p>
    <w:p w14:paraId="2110E20E" w14:textId="77777777" w:rsidR="008123F5" w:rsidRDefault="001A5BDD">
      <w:pPr>
        <w:rPr>
          <w:i/>
        </w:rPr>
      </w:pPr>
      <w:r>
        <w:rPr>
          <w:i/>
        </w:rPr>
        <w:t>(dále jen „poskytovatel“)</w:t>
      </w:r>
    </w:p>
    <w:p w14:paraId="1FBCF074" w14:textId="77777777" w:rsidR="008123F5" w:rsidRDefault="001A5BDD">
      <w:pPr>
        <w:jc w:val="center"/>
        <w:rPr>
          <w:b/>
        </w:rPr>
      </w:pPr>
      <w:r>
        <w:rPr>
          <w:b/>
        </w:rPr>
        <w:t>a</w:t>
      </w:r>
    </w:p>
    <w:p w14:paraId="2E6162EA" w14:textId="77777777" w:rsidR="008123F5" w:rsidRDefault="008123F5">
      <w:pPr>
        <w:rPr>
          <w:color w:val="000000"/>
        </w:rPr>
      </w:pPr>
    </w:p>
    <w:p w14:paraId="691C7D80" w14:textId="77777777" w:rsidR="008123F5" w:rsidRDefault="001A5BDD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proofErr w:type="gramStart"/>
      <w:r>
        <w:rPr>
          <w:b/>
          <w:sz w:val="24"/>
        </w:rPr>
        <w:t>HK - cyklo</w:t>
      </w:r>
      <w:proofErr w:type="gramEnd"/>
      <w:r>
        <w:rPr>
          <w:b/>
          <w:sz w:val="24"/>
        </w:rPr>
        <w:t xml:space="preserve"> s.r.o.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8123F5" w14:paraId="1329A7F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507972F" w14:textId="77777777" w:rsidR="008123F5" w:rsidRDefault="001A5BDD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F86F9" w14:textId="77777777" w:rsidR="008123F5" w:rsidRDefault="001A5BDD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K Rybníku 178/2a, </w:t>
            </w:r>
            <w:proofErr w:type="gramStart"/>
            <w:r>
              <w:t>50002  Hradec</w:t>
            </w:r>
            <w:proofErr w:type="gramEnd"/>
            <w:r>
              <w:t xml:space="preserve"> Králové</w:t>
            </w:r>
            <w:r>
              <w:fldChar w:fldCharType="end"/>
            </w:r>
            <w:r>
              <w:t xml:space="preserve"> </w:t>
            </w:r>
          </w:p>
        </w:tc>
      </w:tr>
      <w:tr w:rsidR="008123F5" w14:paraId="6E57C24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01DA0B2" w14:textId="77777777" w:rsidR="008123F5" w:rsidRDefault="001A5BDD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AB111" w14:textId="77777777" w:rsidR="008123F5" w:rsidRDefault="001A5BDD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Vladimír Vávra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jednatel</w:t>
            </w:r>
            <w:r>
              <w:fldChar w:fldCharType="end"/>
            </w:r>
          </w:p>
        </w:tc>
      </w:tr>
      <w:tr w:rsidR="008123F5" w14:paraId="5EE083C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7C5D7BE" w14:textId="77777777" w:rsidR="008123F5" w:rsidRDefault="001A5BDD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270DC" w14:textId="77777777" w:rsidR="008123F5" w:rsidRDefault="001A5BDD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64826741</w:t>
            </w:r>
            <w:r>
              <w:fldChar w:fldCharType="end"/>
            </w:r>
          </w:p>
        </w:tc>
      </w:tr>
      <w:tr w:rsidR="008123F5" w14:paraId="06B591E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62C8405" w14:textId="77777777" w:rsidR="008123F5" w:rsidRDefault="001A5BDD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19107" w14:textId="77777777" w:rsidR="008123F5" w:rsidRDefault="001A5BDD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7385904001/5500</w:t>
            </w:r>
            <w:r>
              <w:fldChar w:fldCharType="end"/>
            </w:r>
          </w:p>
        </w:tc>
      </w:tr>
    </w:tbl>
    <w:p w14:paraId="7EAA6ADB" w14:textId="77777777" w:rsidR="008123F5" w:rsidRDefault="001A5BDD">
      <w:pPr>
        <w:rPr>
          <w:i/>
        </w:rPr>
      </w:pPr>
      <w:r>
        <w:rPr>
          <w:i/>
        </w:rPr>
        <w:t>(dále jen „příjemce“)</w:t>
      </w:r>
    </w:p>
    <w:p w14:paraId="6AD25901" w14:textId="77777777" w:rsidR="008123F5" w:rsidRDefault="008123F5">
      <w:pPr>
        <w:jc w:val="center"/>
      </w:pPr>
    </w:p>
    <w:p w14:paraId="22AD6889" w14:textId="77777777" w:rsidR="008123F5" w:rsidRDefault="001A5BDD">
      <w:pPr>
        <w:jc w:val="center"/>
        <w:rPr>
          <w:b/>
        </w:rPr>
      </w:pPr>
      <w:r>
        <w:rPr>
          <w:b/>
        </w:rPr>
        <w:t>I.</w:t>
      </w:r>
    </w:p>
    <w:p w14:paraId="71901C45" w14:textId="77777777" w:rsidR="008123F5" w:rsidRDefault="001A5BDD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40996E5D" w14:textId="3F3B77FC" w:rsidR="008123F5" w:rsidRDefault="001A5BDD">
      <w:pPr>
        <w:numPr>
          <w:ilvl w:val="0"/>
          <w:numId w:val="34"/>
        </w:numPr>
        <w:spacing w:after="120"/>
        <w:jc w:val="both"/>
      </w:pPr>
      <w:r>
        <w:t xml:space="preserve">Předmětem této smlouvy je </w:t>
      </w:r>
      <w:r>
        <w:t xml:space="preserve">poskytnutí účelové </w:t>
      </w:r>
      <w:r>
        <w:rPr>
          <w:b/>
        </w:rPr>
        <w:t>neinvestiční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proofErr w:type="spellStart"/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Elkov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Kasper</w:t>
      </w:r>
      <w:proofErr w:type="spellEnd"/>
      <w:r>
        <w:rPr>
          <w:b/>
        </w:rPr>
        <w:t xml:space="preserve"> 2023 2</w:t>
      </w:r>
      <w:r>
        <w:fldChar w:fldCharType="end"/>
      </w:r>
      <w:r>
        <w:rPr>
          <w:b/>
        </w:rPr>
        <w:t>„</w:t>
      </w:r>
      <w:r>
        <w:t>, evidovaného pod číslem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ProfisTaskCode  \* MERGEFORMAT </w:instrText>
      </w:r>
      <w:r>
        <w:fldChar w:fldCharType="separate"/>
      </w:r>
      <w:r>
        <w:rPr>
          <w:b/>
        </w:rPr>
        <w:t>22RGI01-0206</w:t>
      </w:r>
      <w:r>
        <w:fldChar w:fldCharType="end"/>
      </w:r>
      <w:r>
        <w:t>, (dále jen „projekt“).</w:t>
      </w:r>
    </w:p>
    <w:p w14:paraId="6B4E8527" w14:textId="6682D3E9" w:rsidR="008123F5" w:rsidRPr="004728CF" w:rsidRDefault="001A5BDD" w:rsidP="004728CF">
      <w:pPr>
        <w:numPr>
          <w:ilvl w:val="0"/>
          <w:numId w:val="34"/>
        </w:numPr>
        <w:spacing w:after="120"/>
        <w:jc w:val="both"/>
        <w:rPr>
          <w:b/>
          <w:bCs/>
        </w:rPr>
      </w:pPr>
      <w:r>
        <w:t>Dotaci lze použít na účel</w:t>
      </w:r>
      <w:r w:rsidR="004728CF">
        <w:t>:</w:t>
      </w:r>
      <w:r w:rsidR="004728CF" w:rsidRPr="004728CF">
        <w:t xml:space="preserve"> </w:t>
      </w:r>
      <w:r w:rsidR="004728CF" w:rsidRPr="004728CF">
        <w:rPr>
          <w:b/>
          <w:bCs/>
        </w:rPr>
        <w:t xml:space="preserve">Nákup </w:t>
      </w:r>
      <w:proofErr w:type="spellStart"/>
      <w:r w:rsidR="004728CF" w:rsidRPr="004728CF">
        <w:rPr>
          <w:b/>
          <w:bCs/>
        </w:rPr>
        <w:t>velomateriálu</w:t>
      </w:r>
      <w:proofErr w:type="spellEnd"/>
      <w:r w:rsidR="004728CF" w:rsidRPr="004728CF">
        <w:rPr>
          <w:b/>
          <w:bCs/>
        </w:rPr>
        <w:t xml:space="preserve"> </w:t>
      </w:r>
      <w:r w:rsidR="004728CF" w:rsidRPr="004728CF">
        <w:rPr>
          <w:b/>
          <w:bCs/>
        </w:rPr>
        <w:t>a zajištění</w:t>
      </w:r>
      <w:r w:rsidR="004728CF" w:rsidRPr="004728CF">
        <w:rPr>
          <w:b/>
          <w:bCs/>
        </w:rPr>
        <w:t xml:space="preserve"> komplexního závodního i mimo závodního (tréninkového) servisu</w:t>
      </w:r>
      <w:r w:rsidR="004728CF" w:rsidRPr="004728CF">
        <w:rPr>
          <w:b/>
          <w:bCs/>
        </w:rPr>
        <w:t>.</w:t>
      </w:r>
    </w:p>
    <w:p w14:paraId="14CAC64C" w14:textId="77777777" w:rsidR="004728CF" w:rsidRDefault="004728CF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3E571CDC" w14:textId="44087DB1" w:rsidR="008123F5" w:rsidRDefault="001A5BDD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</w:t>
      </w:r>
      <w:r>
        <w:rPr>
          <w:b/>
        </w:rPr>
        <w:t>I.</w:t>
      </w:r>
    </w:p>
    <w:p w14:paraId="2EFAE8C8" w14:textId="77777777" w:rsidR="008123F5" w:rsidRDefault="001A5BDD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6AC117B8" w14:textId="46F4564B" w:rsidR="008123F5" w:rsidRDefault="001A5BDD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neinvestiční</w:t>
      </w:r>
      <w:r>
        <w:t xml:space="preserve"> dotace ve výši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DotisAppTotalGrant  \* MERGEFO</w:instrText>
      </w:r>
      <w:r>
        <w:rPr>
          <w:b/>
        </w:rPr>
        <w:instrText xml:space="preserve">RMAT </w:instrText>
      </w:r>
      <w:r>
        <w:fldChar w:fldCharType="separate"/>
      </w:r>
      <w:r>
        <w:rPr>
          <w:b/>
        </w:rPr>
        <w:t xml:space="preserve"> 750 000,00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22RGI01-0206</w:t>
      </w:r>
      <w:r>
        <w:fldChar w:fldCharType="end"/>
      </w:r>
      <w:r>
        <w:t> (dále jen „žádost o dotaci“). Maximální procentuální podíl dotac</w:t>
      </w:r>
      <w:r>
        <w:t xml:space="preserve">e na uznatelných výdajích projektu nesmí přesáhnout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53,35</w:t>
      </w:r>
      <w:r>
        <w:fldChar w:fldCharType="end"/>
      </w:r>
      <w:r>
        <w:rPr>
          <w:b/>
        </w:rPr>
        <w:t xml:space="preserve">  %, </w:t>
      </w:r>
      <w:r>
        <w:t>uvedených v žádosti o dotaci.</w:t>
      </w:r>
    </w:p>
    <w:p w14:paraId="0CB7F099" w14:textId="77777777" w:rsidR="008123F5" w:rsidRDefault="001A5BDD">
      <w:pPr>
        <w:numPr>
          <w:ilvl w:val="0"/>
          <w:numId w:val="35"/>
        </w:numPr>
        <w:spacing w:after="240"/>
        <w:ind w:left="357" w:hanging="357"/>
        <w:jc w:val="both"/>
      </w:pPr>
      <w:r>
        <w:t xml:space="preserve">Poskytovatel se zavazuje převést celou výši dotace na bankovní účet příjemce, uvedený v záhlaví této smlouvy, </w:t>
      </w:r>
      <w:r>
        <w:t xml:space="preserve">nejpozději do 45 dnů ode dne nabytí účinnosti této smlouvy. </w:t>
      </w:r>
    </w:p>
    <w:p w14:paraId="0795CFA3" w14:textId="77777777" w:rsidR="008123F5" w:rsidRDefault="001A5BDD">
      <w:pPr>
        <w:jc w:val="center"/>
        <w:rPr>
          <w:b/>
        </w:rPr>
      </w:pPr>
      <w:r>
        <w:rPr>
          <w:b/>
        </w:rPr>
        <w:t>III.</w:t>
      </w:r>
    </w:p>
    <w:p w14:paraId="194B6095" w14:textId="77777777" w:rsidR="008123F5" w:rsidRDefault="001A5BDD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7BC4E8BA" w14:textId="77777777" w:rsidR="008123F5" w:rsidRDefault="001A5BDD">
      <w:pPr>
        <w:numPr>
          <w:ilvl w:val="0"/>
          <w:numId w:val="36"/>
        </w:numPr>
        <w:spacing w:after="120"/>
        <w:jc w:val="both"/>
      </w:pPr>
      <w:r>
        <w:t>Příjemce předmětnou dotaci přijímá a zavazuje se, že bude projekt realizovat v souladu s právními předpisy, zněním Zásad pro poskytování dotací a darů z rozpočtu Krá</w:t>
      </w:r>
      <w:r>
        <w:t xml:space="preserve">lovéhradeckého kraje účinným ke dni podání žádosti o dotaci (dále jen „Zásady“) a podmínkami této smlouvy. Zásady jsou zveřejněny na stránkách dotačního portálu poskytovatele: </w:t>
      </w:r>
      <w:hyperlink r:id="rId7" w:history="1">
        <w:r>
          <w:rPr>
            <w:rStyle w:val="Hypertextovodkaz"/>
          </w:rPr>
          <w:t>http://dotace.kr-kralovehradeck</w:t>
        </w:r>
        <w:r>
          <w:rPr>
            <w:rStyle w:val="Hypertextovodkaz"/>
          </w:rPr>
          <w:t>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4C21150A" w14:textId="77777777" w:rsidR="008123F5" w:rsidRDefault="001A5BDD">
      <w:pPr>
        <w:numPr>
          <w:ilvl w:val="0"/>
          <w:numId w:val="36"/>
        </w:numPr>
        <w:spacing w:after="120"/>
        <w:jc w:val="both"/>
      </w:pPr>
      <w:r>
        <w:t>Dotace je ve smyslu zákona č. 320/2001 Sb., o finanční kontrole ve veřejné správě a o změně některých zákonů, ve znění pozdějších předpisů (dále jen „zá</w:t>
      </w:r>
      <w:r>
        <w:t>kon o finanční kontrole“ nebo „zákon č. 320/2001 Sb., o finanční kontrole“), veřejnou finanční podporou a vztahují se na ni všechna ustanovení tohoto zákona.</w:t>
      </w:r>
    </w:p>
    <w:p w14:paraId="2C310902" w14:textId="77777777" w:rsidR="008123F5" w:rsidRDefault="001A5BDD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</w:t>
      </w:r>
      <w:r>
        <w:t>ho rozpočtu nebo strukturálních fondů Evropské unie, pokud to pravidla pro poskytnutí těchto podpor nevylučují.</w:t>
      </w:r>
    </w:p>
    <w:p w14:paraId="70336C89" w14:textId="77777777" w:rsidR="008123F5" w:rsidRDefault="001A5BDD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dosaženo účelu stanoveného v článku I. odst. (2) této smlouvy, tj. doba, </w:t>
      </w:r>
      <w:r>
        <w:br/>
        <w:t>ve které musejí být provedeny všechny činnosti spoj</w:t>
      </w:r>
      <w:r>
        <w:t xml:space="preserve">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01.01.2023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31.12.2023</w:t>
      </w:r>
      <w:r>
        <w:fldChar w:fldCharType="end"/>
      </w:r>
      <w:r>
        <w:rPr>
          <w:b/>
        </w:rPr>
        <w:t xml:space="preserve">. </w:t>
      </w:r>
      <w:r>
        <w:t xml:space="preserve">V době realizace projektu musí být uhrazeny </w:t>
      </w:r>
      <w:r>
        <w:t>veškeré výdaje projektu. Těmito výdaji jsou výdaje, které budou vynaloženy v době realizace projektu, nebo tvoří kompenzaci již vynaložených výdajů, souvisejících s realizací projektu od termínu jeho zahájení.</w:t>
      </w:r>
    </w:p>
    <w:p w14:paraId="7FD7C9AA" w14:textId="77777777" w:rsidR="008123F5" w:rsidRDefault="001A5BDD">
      <w:pPr>
        <w:numPr>
          <w:ilvl w:val="0"/>
          <w:numId w:val="36"/>
        </w:numPr>
        <w:spacing w:after="120"/>
        <w:jc w:val="both"/>
      </w:pPr>
      <w:r>
        <w:t>DPH, o jejíž vrácení může příjemce zpětně zažá</w:t>
      </w:r>
      <w:r>
        <w:t>dat, není uznatelným výdajem. V případě, že je příjemce plátcem DPH, kterému vznikla daňová povinnost v době realizace projektu, může do uznatelných výdajů projektu započítat i odvod DPH související s realizací projektu, pokud bude tento odvod uskutečněn p</w:t>
      </w:r>
      <w:r>
        <w:t>řed předáním Závěrečné zprávy o realizaci projektu (dále jen „Závěrečná zpráva“) poskytovateli způsobem uvedeným v odstavci (11) tohoto článku.</w:t>
      </w:r>
    </w:p>
    <w:p w14:paraId="14606F61" w14:textId="77777777" w:rsidR="008123F5" w:rsidRDefault="001A5BDD">
      <w:pPr>
        <w:numPr>
          <w:ilvl w:val="0"/>
          <w:numId w:val="36"/>
        </w:numPr>
        <w:spacing w:after="120"/>
        <w:jc w:val="both"/>
      </w:pPr>
      <w:r>
        <w:t xml:space="preserve">Jednotlivé výdaje nad 40.000 Kč se příjemce zavazuje uskutečnit bezhotovostním převodem. </w:t>
      </w:r>
    </w:p>
    <w:p w14:paraId="529D9003" w14:textId="77777777" w:rsidR="008123F5" w:rsidRDefault="001A5BDD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01AAB0A4" w14:textId="77777777" w:rsidR="008123F5" w:rsidRDefault="001A5BDD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odděleně (např. analytic</w:t>
      </w:r>
      <w:r>
        <w:t>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</w:t>
      </w:r>
      <w:r>
        <w:t>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0C472620" w14:textId="77777777" w:rsidR="008123F5" w:rsidRDefault="001A5BDD">
      <w:pPr>
        <w:numPr>
          <w:ilvl w:val="0"/>
          <w:numId w:val="36"/>
        </w:numPr>
        <w:spacing w:after="120"/>
        <w:jc w:val="both"/>
      </w:pPr>
      <w:r>
        <w:lastRenderedPageBreak/>
        <w:t>Příjemce je povinen označit ori</w:t>
      </w:r>
      <w:r>
        <w:t xml:space="preserve">ginály dokladů, souvisejících s realizací projektu (výdaje hrazené z dotace či vlastního podílu), číslem této smlouvy a vyčíslit na nich částku hrazenou z dotace. </w:t>
      </w:r>
    </w:p>
    <w:p w14:paraId="208E42FD" w14:textId="77777777" w:rsidR="008123F5" w:rsidRDefault="001A5BDD">
      <w:pPr>
        <w:numPr>
          <w:ilvl w:val="0"/>
          <w:numId w:val="36"/>
        </w:numPr>
        <w:spacing w:after="120"/>
        <w:jc w:val="both"/>
      </w:pPr>
      <w:r>
        <w:t>Příjemce je povinen zveřejnit, že Královéhradecký kraj je poskytovatelem dotace na realizaci</w:t>
      </w:r>
      <w:r>
        <w:t xml:space="preserve">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</w:t>
      </w:r>
      <w:r>
        <w:t>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0CACB893" w14:textId="61AD66E4" w:rsidR="008123F5" w:rsidRDefault="001A5BDD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4728CF">
        <w:fldChar w:fldCharType="begin"/>
      </w:r>
      <w:r w:rsidR="004728CF">
        <w:rPr>
          <w:b/>
        </w:rPr>
        <w:instrText xml:space="preserve"> DOCVARIABLE  DotisEndDate  \* MERGEFORMAT </w:instrText>
      </w:r>
      <w:r w:rsidR="004728CF">
        <w:fldChar w:fldCharType="separate"/>
      </w:r>
      <w:r w:rsidR="004728CF">
        <w:rPr>
          <w:b/>
        </w:rPr>
        <w:t>31.12.2023</w:t>
      </w:r>
      <w:r w:rsidR="004728CF"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Do 60 kalendářních dnů od odeslání Z</w:t>
      </w:r>
      <w:r>
        <w:t>ávěrečné zprávy prostřednictvím dotačního portálu je příjemce povinen doručit poskytovateli listinnou podobu Závěrečné zprávy podepsanou příjemcem dotace nebo ji zaslat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</w:t>
      </w:r>
      <w:r>
        <w:t xml:space="preserve"> Závěrečné zprávy musí být vedena na příjemce).</w:t>
      </w:r>
    </w:p>
    <w:p w14:paraId="59318D5F" w14:textId="77777777" w:rsidR="008123F5" w:rsidRDefault="001A5BDD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Královéhradeckého kraje, seznam dokladů prokazujících výdaje vynaložené na realizaci projektu (číslo do</w:t>
      </w:r>
      <w:r>
        <w:t>kladu, účel použití dotace a výši dotace použité na daný výdaj, datum výdaje, částka v Kč), čestné prohlášení o pravdivosti a úplnosti předloženého seznamu dokladů a doklad o naplnění publicity finanční podpory od poskytovatele podle článku III. odst. (10)</w:t>
      </w:r>
      <w:r>
        <w:t xml:space="preserve"> této smlouvy. Pokud výše poskytnuté dotace přesáhla 100.000 Kč, pak musí Závěrečná zpráva obsahovat i kopie dokladů vystavených na částku přesahující 40.000 Kč a hrazených z poskytnuté dotace. Příjemce je povinen archivovat veškeré dokumenty související s</w:t>
      </w:r>
      <w:r>
        <w:t> poskytnutou dotací po dobu 10 let počínajících koncem účetního období, ve kterém byla ukončena realizace předmětného projektu.</w:t>
      </w:r>
    </w:p>
    <w:p w14:paraId="5D094CEA" w14:textId="77777777" w:rsidR="008123F5" w:rsidRDefault="001A5BDD">
      <w:pPr>
        <w:numPr>
          <w:ilvl w:val="0"/>
          <w:numId w:val="36"/>
        </w:numPr>
        <w:spacing w:after="120"/>
        <w:jc w:val="both"/>
      </w:pPr>
      <w:r>
        <w:t>Příjemce je povinen ve lhůtě 5 pracovních dnů po uplynutí lhůty pro předání Závěrečné zprávy vrátit případnou nepoužitou část do</w:t>
      </w:r>
      <w:r>
        <w:t xml:space="preserve">tace, a to jejím odesláním na bankovní účet poskytovatele uvedený v záhlaví této smlouvy. Dotace či její části se považují za vrácené dnem, kdy byly připsány na bankovní účet poskytovatele. </w:t>
      </w:r>
    </w:p>
    <w:p w14:paraId="48D8959C" w14:textId="77777777" w:rsidR="008123F5" w:rsidRDefault="001A5BDD">
      <w:pPr>
        <w:numPr>
          <w:ilvl w:val="0"/>
          <w:numId w:val="36"/>
        </w:numPr>
        <w:spacing w:after="120"/>
        <w:jc w:val="both"/>
      </w:pPr>
      <w:r>
        <w:t>V případě, že účinnost této smlouvy zasahuje do dvou a více kalen</w:t>
      </w:r>
      <w:r>
        <w:t xml:space="preserve">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 xml:space="preserve">Za den předání dílčího finančního vypořádání dotace se </w:t>
      </w:r>
      <w:r>
        <w:t>považuje den jeho odeslání poskytovateli prostřednictvím dotačního portálu.</w:t>
      </w:r>
    </w:p>
    <w:p w14:paraId="37F04B07" w14:textId="77777777" w:rsidR="008123F5" w:rsidRDefault="001A5BDD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projektu stanovenou v Zásadách. Stav majetku, jeho evidenci v účetnictví a využívání pro svo</w:t>
      </w:r>
      <w:r>
        <w:t xml:space="preserve">u činnost je příjemce povinen prokázat kdykoliv během doby, po kterou má majetek pořízený z poskytnuté dotace ve svém vlastnictví, max. do uplynutí doby udržitelnosti projektu. </w:t>
      </w:r>
    </w:p>
    <w:p w14:paraId="187B1EB7" w14:textId="77777777" w:rsidR="008123F5" w:rsidRDefault="001A5BDD">
      <w:pPr>
        <w:numPr>
          <w:ilvl w:val="0"/>
          <w:numId w:val="36"/>
        </w:numPr>
        <w:spacing w:after="240"/>
        <w:ind w:left="357" w:hanging="357"/>
        <w:jc w:val="both"/>
      </w:pPr>
      <w:r>
        <w:t>Poskytovatel má právo využít informace a výstupy realizovaného projektu včetně</w:t>
      </w:r>
      <w:r>
        <w:t xml:space="preserve"> digitální a tištěné prezentace k případnému nekomerčnímu využití, a to bez souhlasu příjemce. Příjemce je povinen toto právo poskytovatele strpět a zavazuje se mu poskytnout k jeho realizaci veškerou součinnost.</w:t>
      </w:r>
    </w:p>
    <w:p w14:paraId="46561DC9" w14:textId="77777777" w:rsidR="008123F5" w:rsidRDefault="001A5BDD">
      <w:pPr>
        <w:pStyle w:val="Odstavecseseznamem"/>
        <w:numPr>
          <w:ilvl w:val="0"/>
          <w:numId w:val="36"/>
        </w:numPr>
        <w:tabs>
          <w:tab w:val="left" w:pos="947"/>
        </w:tabs>
        <w:spacing w:before="1" w:after="0"/>
        <w:ind w:right="109"/>
        <w:jc w:val="both"/>
      </w:pPr>
      <w:r>
        <w:t>Poskytovatel prohlašuje, že poskytnutí dota</w:t>
      </w:r>
      <w:r>
        <w:t>ce podle této smlouvy je poskytnutím podpory de minimis ve smyslu nařízení Komise (ES) č. 1407/2013 ze dne 18. prosince 2013, o použití článků 107 a 108 Smlouvy o fungování Evropské unie na podporu de minimis (publikováno v Úředním věstníku EU, dne 24. 12.</w:t>
      </w:r>
      <w:r>
        <w:t xml:space="preserve"> 2013, v částce L 352), dále jen „nařízení Komise“. Za den poskytnutí podpory de minimis podle této smlouvy se považuje den, kdy tato smlouva nabude účinnosti.</w:t>
      </w:r>
    </w:p>
    <w:p w14:paraId="70C1708C" w14:textId="77777777" w:rsidR="008123F5" w:rsidRDefault="001A5BDD">
      <w:pPr>
        <w:pStyle w:val="Odstavecseseznamem"/>
        <w:numPr>
          <w:ilvl w:val="0"/>
          <w:numId w:val="36"/>
        </w:numPr>
        <w:tabs>
          <w:tab w:val="left" w:pos="947"/>
        </w:tabs>
        <w:spacing w:before="119" w:after="0"/>
        <w:ind w:right="114"/>
        <w:jc w:val="both"/>
      </w:pPr>
      <w:r>
        <w:t>Příjemce prohlašuje, že nenastaly okolnosti, které by vylučovaly aplikaci pravidla de minimis, p</w:t>
      </w:r>
      <w:r>
        <w:t xml:space="preserve">ředevším, že poskytnutím této dotace nedojde k takové kumulaci s jinou veřejnou podporu ohledně </w:t>
      </w:r>
      <w:r>
        <w:lastRenderedPageBreak/>
        <w:t>týchž výdajů, která by způsobila překročení povolené míry veřejné podpory, a že v posledních 3 letech mu nebyla poskytnuta podpora de minimis, která by v součtu</w:t>
      </w:r>
      <w:r>
        <w:t xml:space="preserve"> s podporou de minimis poskytovanou na základě této smlouvy překročila maximální částku povolenou právními předpisy ES upravujícími oblast veřejné podpory (zejména nařízením Komise).</w:t>
      </w:r>
    </w:p>
    <w:p w14:paraId="4807A478" w14:textId="77777777" w:rsidR="008123F5" w:rsidRDefault="008123F5">
      <w:pPr>
        <w:jc w:val="center"/>
        <w:rPr>
          <w:b/>
        </w:rPr>
      </w:pPr>
    </w:p>
    <w:p w14:paraId="683D61F0" w14:textId="77777777" w:rsidR="008123F5" w:rsidRDefault="001A5BDD">
      <w:pPr>
        <w:jc w:val="center"/>
        <w:rPr>
          <w:b/>
        </w:rPr>
      </w:pPr>
      <w:r>
        <w:rPr>
          <w:b/>
        </w:rPr>
        <w:t>IV.</w:t>
      </w:r>
    </w:p>
    <w:p w14:paraId="15E325EE" w14:textId="77777777" w:rsidR="008123F5" w:rsidRDefault="001A5BDD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</w:t>
      </w:r>
      <w:r>
        <w:rPr>
          <w:b/>
        </w:rPr>
        <w:t>í poskytnuté dotace</w:t>
      </w:r>
    </w:p>
    <w:p w14:paraId="4632EAF6" w14:textId="77777777" w:rsidR="008123F5" w:rsidRDefault="001A5BDD">
      <w:pPr>
        <w:numPr>
          <w:ilvl w:val="0"/>
          <w:numId w:val="37"/>
        </w:numPr>
        <w:spacing w:after="120"/>
        <w:jc w:val="both"/>
      </w:pPr>
      <w: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</w:t>
      </w:r>
      <w:r>
        <w:t>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</w:t>
      </w:r>
      <w:r>
        <w:t xml:space="preserve">dených v odst. (3) a odst. (4) tohoto článku, nejpozději do 5 pracovních dnů ode dne, kdy se o změnách dozvěděl. </w:t>
      </w:r>
    </w:p>
    <w:p w14:paraId="2A6CAE7E" w14:textId="77777777" w:rsidR="008123F5" w:rsidRDefault="001A5BDD">
      <w:pPr>
        <w:numPr>
          <w:ilvl w:val="0"/>
          <w:numId w:val="37"/>
        </w:numPr>
        <w:spacing w:after="120"/>
        <w:jc w:val="both"/>
      </w:pPr>
      <w:r>
        <w:t>V případě, že dochází u příjemce k zániku s likvidací, je příjemce povinen vrátit nedočerpané prostředky poskytovateli, a to nejpozději do zah</w:t>
      </w:r>
      <w:r>
        <w:t xml:space="preserve">ájení likvidace příjemce. V případě, </w:t>
      </w:r>
      <w:r>
        <w:br/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  <w:t>a to nejpozději do zahájení likvidace pří</w:t>
      </w:r>
      <w:r>
        <w:t>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</w:t>
      </w:r>
      <w:r>
        <w:t>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</w:t>
      </w:r>
      <w:r>
        <w:t>0 Sb., o rozpočtových pravidlech územních rozpočtů“), bude postupováno dle tohoto zákona a zákona č. 280/2009 Sb., daňový řád, ve znění pozdějších předpisů.</w:t>
      </w:r>
    </w:p>
    <w:p w14:paraId="266EEA6C" w14:textId="77777777" w:rsidR="008123F5" w:rsidRDefault="001A5BDD">
      <w:pPr>
        <w:numPr>
          <w:ilvl w:val="0"/>
          <w:numId w:val="37"/>
        </w:numPr>
        <w:spacing w:after="120"/>
        <w:jc w:val="both"/>
      </w:pPr>
      <w:r>
        <w:t xml:space="preserve">Příjemce je povinen požádat poskytovatele prokazatelným způsobem o schválení záměru změnit </w:t>
      </w:r>
      <w:r>
        <w:t>podmínky čerpání poskytnuté dotace vyžadující rozhodnutí orgánu poskytovatele, který schválil poskytnutí dotace. Žádost je nutné podat s takovým předstihem, aby bylo o změně podmínek čerpání poskytnuté dotace rozhodnuto před ukončením doby realizace projek</w:t>
      </w:r>
      <w:r>
        <w:t>tu.</w:t>
      </w:r>
    </w:p>
    <w:p w14:paraId="0823F220" w14:textId="77777777" w:rsidR="008123F5" w:rsidRDefault="001A5BDD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</w:t>
      </w:r>
      <w:r>
        <w:t xml:space="preserve">vým předstihem, aby byl dodatek k této smlouvě uzavřen před ukončením doby realizace projektu. </w:t>
      </w:r>
    </w:p>
    <w:p w14:paraId="660C74A3" w14:textId="77777777" w:rsidR="008123F5" w:rsidRDefault="001A5BDD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06E38834" w14:textId="77777777" w:rsidR="008123F5" w:rsidRDefault="001A5BDD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61ECF773" w14:textId="77777777" w:rsidR="008123F5" w:rsidRDefault="001A5BDD">
      <w:pPr>
        <w:spacing w:after="240"/>
        <w:ind w:left="425"/>
        <w:jc w:val="both"/>
      </w:pPr>
      <w:r>
        <w:t xml:space="preserve">Příslušné orgány poskytovatele či osoby pověřené poskytovatelem, jsou v souladu se zákonem č. 129/2000 Sb., o krajích ve znění pozdějších předpisů, </w:t>
      </w:r>
      <w:r>
        <w:t>zákonem č. 320/2001 Sb., o finanční kontrole, a zákonem č. 250/2000 Sb., o rozpočtových pravidlech územních rozpočtů, oprávněny kdykoli kontrolovat dodržení podmínek, za kterých byla dotace poskytnuta.</w:t>
      </w:r>
    </w:p>
    <w:p w14:paraId="5ADDD855" w14:textId="77777777" w:rsidR="008123F5" w:rsidRDefault="001A5BDD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0BC121C1" w14:textId="77777777" w:rsidR="008123F5" w:rsidRDefault="001A5BDD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0B3899AC" w14:textId="77777777" w:rsidR="008123F5" w:rsidRDefault="001A5BDD">
      <w:pPr>
        <w:numPr>
          <w:ilvl w:val="0"/>
          <w:numId w:val="39"/>
        </w:numPr>
        <w:spacing w:after="120"/>
        <w:ind w:left="426"/>
        <w:jc w:val="both"/>
      </w:pPr>
      <w:r>
        <w:t>Pokud se pří</w:t>
      </w:r>
      <w:r>
        <w:t xml:space="preserve">jemce dopustí porušení rozpočtové kázně, poskytovatel dotace bude postupovat dle ustanovení § 22 ZORP. </w:t>
      </w:r>
    </w:p>
    <w:p w14:paraId="156C0393" w14:textId="77777777" w:rsidR="008123F5" w:rsidRDefault="001A5BDD">
      <w:pPr>
        <w:numPr>
          <w:ilvl w:val="0"/>
          <w:numId w:val="39"/>
        </w:numPr>
        <w:spacing w:after="120"/>
        <w:ind w:left="426"/>
        <w:jc w:val="both"/>
      </w:pPr>
      <w:r>
        <w:lastRenderedPageBreak/>
        <w:t>Podmínky, jejichž porušení je dle ustanovení § 10a odst. (6) ZORP považováno za méně závažné, za které se uloží odvod za porušení rozpočtové kázně nižší</w:t>
      </w:r>
      <w:r>
        <w:t>, než odpovídá výši neoprávněně použitých nebo zadržených peněžních prostředků:</w:t>
      </w:r>
    </w:p>
    <w:p w14:paraId="6BD1D8B2" w14:textId="77777777" w:rsidR="008123F5" w:rsidRDefault="001A5BDD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6C730AA4" w14:textId="77777777" w:rsidR="008123F5" w:rsidRDefault="001A5BDD">
      <w:pPr>
        <w:numPr>
          <w:ilvl w:val="2"/>
          <w:numId w:val="39"/>
        </w:numPr>
        <w:ind w:left="993"/>
        <w:jc w:val="both"/>
      </w:pPr>
      <w:r>
        <w:t>odvod ve výši 0,5 %</w:t>
      </w:r>
      <w:r>
        <w:t xml:space="preserve"> z celkové částky poskytnuté dotace při překročení o max. 5 pracovních dnů,</w:t>
      </w:r>
    </w:p>
    <w:p w14:paraId="146C17AA" w14:textId="77777777" w:rsidR="008123F5" w:rsidRDefault="001A5BDD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11D47F65" w14:textId="77777777" w:rsidR="008123F5" w:rsidRDefault="001A5BDD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a (12) této </w:t>
      </w:r>
      <w:r>
        <w:t>smlouvy – odvod ve výši 5 % z celkové částky poskytnuté dotace,</w:t>
      </w:r>
    </w:p>
    <w:p w14:paraId="202806BB" w14:textId="77777777" w:rsidR="008123F5" w:rsidRDefault="001A5BDD">
      <w:pPr>
        <w:numPr>
          <w:ilvl w:val="1"/>
          <w:numId w:val="39"/>
        </w:numPr>
        <w:ind w:left="709"/>
        <w:jc w:val="both"/>
      </w:pPr>
      <w:r>
        <w:t>za každé jednotlivé porušení zákonné povinnosti vymezené v ustanovení § 219 odst. (1) až (4) ZZVZ – odvod ve výši 2.000- Kč.</w:t>
      </w:r>
    </w:p>
    <w:p w14:paraId="3A9700E3" w14:textId="77777777" w:rsidR="008123F5" w:rsidRDefault="001A5BDD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 příjemce fo</w:t>
      </w:r>
      <w:r>
        <w:t>rmou bezhotovostního převodu na bankovní účet poskytovatele uvedený v záhlaví této smlouvy.</w:t>
      </w:r>
    </w:p>
    <w:p w14:paraId="4E09CCD8" w14:textId="77777777" w:rsidR="008123F5" w:rsidRDefault="001A5BDD">
      <w:pPr>
        <w:keepNext/>
        <w:jc w:val="center"/>
        <w:rPr>
          <w:b/>
        </w:rPr>
      </w:pPr>
      <w:r>
        <w:rPr>
          <w:b/>
        </w:rPr>
        <w:t>VII.</w:t>
      </w:r>
    </w:p>
    <w:p w14:paraId="69046623" w14:textId="77777777" w:rsidR="008123F5" w:rsidRDefault="001A5BDD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68CF4D97" w14:textId="77777777" w:rsidR="008123F5" w:rsidRDefault="001A5BDD">
      <w:pPr>
        <w:numPr>
          <w:ilvl w:val="0"/>
          <w:numId w:val="40"/>
        </w:numPr>
        <w:spacing w:after="120"/>
        <w:jc w:val="both"/>
      </w:pPr>
      <w:r>
        <w:t>Závazkový vztah, založený touto smlouvou,</w:t>
      </w:r>
      <w:r>
        <w:t xml:space="preserve"> lze ukončit na základě dohody nebo výpovědí. </w:t>
      </w:r>
      <w:r>
        <w:br/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  <w:t xml:space="preserve">ze strany příjemce k porušení </w:t>
      </w:r>
      <w:r>
        <w:t>jakýchkoli povinností stanovených právními předpisy, touto smlouvou, Zásadami a souvisejícími dokumenty.</w:t>
      </w:r>
    </w:p>
    <w:p w14:paraId="73E083E0" w14:textId="77777777" w:rsidR="008123F5" w:rsidRDefault="001A5BDD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</w:t>
      </w:r>
      <w:r>
        <w:t xml:space="preserve">ručení se má za to, že je výpověď doručena 5. den od jejího odeslání. </w:t>
      </w:r>
    </w:p>
    <w:p w14:paraId="07302968" w14:textId="77777777" w:rsidR="008123F5" w:rsidRDefault="001A5BDD">
      <w:pPr>
        <w:numPr>
          <w:ilvl w:val="0"/>
          <w:numId w:val="40"/>
        </w:numPr>
        <w:spacing w:after="120"/>
        <w:jc w:val="both"/>
      </w:pPr>
      <w:r>
        <w:t>Smluvní strany se dohodly, že v případě výpovědi smlouvy kteroukoli ze smluvních stran, vrátí příjemce poskytovateli celkovou výši dotace do 15 dnů od uplynutí výpovědní doby. Nevrátí-l</w:t>
      </w:r>
      <w:r>
        <w:t>i příjemce předmětnou dotaci v tomto termínu, považují se tyto peněžní prostředky za zadržené ve smyslu ustanovení § 22 odst. (3) ZORP, a poskytovatel dotace bude postupovat v souladu s tímto ustanovením.</w:t>
      </w:r>
    </w:p>
    <w:p w14:paraId="5DB1262A" w14:textId="77777777" w:rsidR="008123F5" w:rsidRDefault="001A5BDD">
      <w:pPr>
        <w:numPr>
          <w:ilvl w:val="0"/>
          <w:numId w:val="40"/>
        </w:numPr>
        <w:spacing w:after="120"/>
        <w:jc w:val="both"/>
      </w:pPr>
      <w:r>
        <w:t>Realizací výpovědi smlouvy ze strany příjemce či po</w:t>
      </w:r>
      <w:r>
        <w:t xml:space="preserve">skytovatele není dotčen postup </w:t>
      </w:r>
      <w:r>
        <w:br/>
        <w:t xml:space="preserve">dle ustanovení článku VI. a předchozích odstavců článku VII. této smlouvy. </w:t>
      </w:r>
    </w:p>
    <w:p w14:paraId="7011F99D" w14:textId="77777777" w:rsidR="008123F5" w:rsidRDefault="001A5BDD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7CA1EC80" w14:textId="77777777" w:rsidR="008123F5" w:rsidRDefault="001A5BDD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6AFADD10" w14:textId="77777777" w:rsidR="008123F5" w:rsidRDefault="001A5BDD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34FFA4AD" w14:textId="77777777" w:rsidR="008123F5" w:rsidRDefault="001A5BDD">
      <w:pPr>
        <w:numPr>
          <w:ilvl w:val="0"/>
          <w:numId w:val="41"/>
        </w:numPr>
        <w:spacing w:after="120"/>
        <w:jc w:val="both"/>
      </w:pPr>
      <w:r>
        <w:t>Smluvní strany souhlasí se zveřejněním té</w:t>
      </w:r>
      <w:r>
        <w:t xml:space="preserve">to smlouvy i všech údajů týkajících se projektu. Příjemce prohlašuje, že tato smlouva neobsahuje žádná obchodní tajemství. Příjemce bere </w:t>
      </w:r>
      <w:r>
        <w:br/>
        <w:t>na vědomí, že tato smlouva může být zveřejněna v registru smluv včetně všech údajů uváděných v této smlouvě a souhlasí</w:t>
      </w:r>
      <w:r>
        <w:t xml:space="preserve"> s tímto zveřejněním včetně veškerých případných osobních údajů všech osob uváděných ve smlouvě.</w:t>
      </w:r>
    </w:p>
    <w:p w14:paraId="4E5D500C" w14:textId="77777777" w:rsidR="008123F5" w:rsidRDefault="001A5BDD">
      <w:pPr>
        <w:numPr>
          <w:ilvl w:val="0"/>
          <w:numId w:val="41"/>
        </w:numPr>
        <w:spacing w:after="120"/>
        <w:jc w:val="both"/>
      </w:pPr>
      <w:r>
        <w:lastRenderedPageBreak/>
        <w:t xml:space="preserve">V případě, že je dotace použita na vytvoření předmětu duševního vlastnictví (zejména autorského díla), poskytuje příjemce poskytovateli dotaci právo dílo užít </w:t>
      </w:r>
      <w:r>
        <w:t xml:space="preserve">pro své potřeby, </w:t>
      </w:r>
      <w:r>
        <w:br/>
        <w:t>a to bezplatně na území České republiky na dobu neurčitou. Případné další podmínky budou upraveny v licenční smlouvě.</w:t>
      </w:r>
    </w:p>
    <w:p w14:paraId="6CD4B5F9" w14:textId="77777777" w:rsidR="008123F5" w:rsidRDefault="001A5BDD">
      <w:pPr>
        <w:numPr>
          <w:ilvl w:val="0"/>
          <w:numId w:val="41"/>
        </w:numPr>
        <w:spacing w:before="120" w:after="120"/>
        <w:jc w:val="both"/>
      </w:pPr>
      <w:r>
        <w:t xml:space="preserve">Tato smlouva nezaniká dnem ukončení projektu, nýbrž dnem, kdy smluvní strany splní všechny povinnosti, které jim plynou </w:t>
      </w:r>
      <w:r>
        <w:t>z této smlouvy.</w:t>
      </w:r>
    </w:p>
    <w:p w14:paraId="3755F497" w14:textId="77777777" w:rsidR="008123F5" w:rsidRDefault="001A5BDD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77950451" w14:textId="77777777" w:rsidR="008123F5" w:rsidRDefault="001A5BDD">
      <w:pPr>
        <w:numPr>
          <w:ilvl w:val="0"/>
          <w:numId w:val="41"/>
        </w:numPr>
        <w:spacing w:after="120"/>
        <w:jc w:val="both"/>
      </w:pPr>
      <w:r>
        <w:t xml:space="preserve">Jakékoli změny této smlouvy lze provádět pouze formou písemných, postupně číslovaných, dodatků na základě dohody obou smluvních stran. </w:t>
      </w:r>
    </w:p>
    <w:p w14:paraId="2AD391DC" w14:textId="77777777" w:rsidR="008123F5" w:rsidRDefault="001A5BDD">
      <w:pPr>
        <w:numPr>
          <w:ilvl w:val="0"/>
          <w:numId w:val="41"/>
        </w:numPr>
        <w:spacing w:after="120"/>
        <w:jc w:val="both"/>
      </w:pPr>
      <w:r>
        <w:t>Vztahy touto sml</w:t>
      </w:r>
      <w:r>
        <w:t>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</w:t>
      </w:r>
      <w:r>
        <w:t>zdějších předpisů.</w:t>
      </w:r>
    </w:p>
    <w:p w14:paraId="118F7745" w14:textId="77777777" w:rsidR="008123F5" w:rsidRDefault="001A5BDD">
      <w:pPr>
        <w:numPr>
          <w:ilvl w:val="0"/>
          <w:numId w:val="41"/>
        </w:numPr>
        <w:spacing w:after="120"/>
        <w:jc w:val="both"/>
      </w:pPr>
      <w:r>
        <w:t>Tato smlouva je sepsána ve třech vyhotoveních, z nichž dvě jsou určena pro poskytovatele a jedno pro příjemce.</w:t>
      </w:r>
    </w:p>
    <w:p w14:paraId="47DF5D72" w14:textId="77777777" w:rsidR="008123F5" w:rsidRDefault="001A5BDD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pokud zvláštní právní předpis [zejména zákon</w:t>
      </w:r>
      <w:r>
        <w:t xml:space="preserve"> č. 340/2015 Sb., o zvláštních podmínkách účinnosti některých smluv, uveřejňování těchto smluv a o registru smluv (zákon o registru smluv), ve znění pozdějších předpisů] nestanoví účinnost jinak.</w:t>
      </w:r>
    </w:p>
    <w:p w14:paraId="5F10ADE9" w14:textId="77777777" w:rsidR="008123F5" w:rsidRDefault="001A5BDD">
      <w:pPr>
        <w:keepNext/>
        <w:ind w:left="357"/>
        <w:jc w:val="both"/>
      </w:pPr>
      <w:r>
        <w:rPr>
          <w:b/>
        </w:rPr>
        <w:t xml:space="preserve">Doložka podle ustanovení § 23 odst. (1) zákona o krajích </w:t>
      </w:r>
    </w:p>
    <w:p w14:paraId="1DECB922" w14:textId="387DC05F" w:rsidR="008123F5" w:rsidRDefault="001A5BDD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4728CF" w:rsidRPr="004728CF">
        <w:t>27.03.2023 usnesením č. ZK/18/1302/2023</w:t>
      </w:r>
      <w:r>
        <w:t>.</w:t>
      </w:r>
    </w:p>
    <w:p w14:paraId="1D872000" w14:textId="77777777" w:rsidR="008123F5" w:rsidRDefault="008123F5">
      <w:pPr>
        <w:keepNext/>
        <w:ind w:left="357"/>
        <w:jc w:val="both"/>
      </w:pPr>
    </w:p>
    <w:p w14:paraId="63E360E3" w14:textId="77777777" w:rsidR="008123F5" w:rsidRDefault="008123F5">
      <w:pPr>
        <w:keepNext/>
        <w:ind w:left="357"/>
        <w:jc w:val="both"/>
      </w:pPr>
    </w:p>
    <w:p w14:paraId="2508C9D8" w14:textId="77777777" w:rsidR="008123F5" w:rsidRDefault="001A5BDD">
      <w:pPr>
        <w:tabs>
          <w:tab w:val="left" w:pos="284"/>
          <w:tab w:val="center" w:pos="2160"/>
          <w:tab w:val="center" w:pos="7020"/>
        </w:tabs>
      </w:pPr>
      <w:r>
        <w:tab/>
        <w:t>V …………………</w:t>
      </w:r>
      <w:proofErr w:type="gramStart"/>
      <w:r>
        <w:t>…….</w:t>
      </w:r>
      <w:proofErr w:type="gramEnd"/>
      <w:r>
        <w:t>……………. dne</w:t>
      </w:r>
      <w:proofErr w:type="gramStart"/>
      <w:r>
        <w:t>…….</w:t>
      </w:r>
      <w:proofErr w:type="gramEnd"/>
      <w:r>
        <w:t>….......</w:t>
      </w:r>
      <w:r>
        <w:t>………                              V Hradci Králové dne .................................</w:t>
      </w:r>
    </w:p>
    <w:p w14:paraId="5D343417" w14:textId="77777777" w:rsidR="008123F5" w:rsidRDefault="008123F5">
      <w:pPr>
        <w:tabs>
          <w:tab w:val="left" w:pos="284"/>
          <w:tab w:val="center" w:pos="2160"/>
          <w:tab w:val="center" w:pos="7020"/>
        </w:tabs>
      </w:pPr>
    </w:p>
    <w:p w14:paraId="36BF4147" w14:textId="77777777" w:rsidR="008123F5" w:rsidRDefault="008123F5">
      <w:pPr>
        <w:tabs>
          <w:tab w:val="center" w:pos="2160"/>
          <w:tab w:val="center" w:pos="7020"/>
        </w:tabs>
      </w:pPr>
    </w:p>
    <w:p w14:paraId="62382259" w14:textId="77777777" w:rsidR="008123F5" w:rsidRDefault="008123F5">
      <w:pPr>
        <w:tabs>
          <w:tab w:val="center" w:pos="2160"/>
          <w:tab w:val="center" w:pos="7020"/>
        </w:tabs>
      </w:pPr>
    </w:p>
    <w:p w14:paraId="1E8A9D35" w14:textId="77777777" w:rsidR="008123F5" w:rsidRDefault="001A5BDD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…...……………………………………….</w:t>
      </w:r>
    </w:p>
    <w:p w14:paraId="46BDAACF" w14:textId="77777777" w:rsidR="008123F5" w:rsidRDefault="001A5BDD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</w:t>
      </w:r>
      <w:r>
        <w:t xml:space="preserve">  za poskytovatele</w:t>
      </w:r>
      <w:r>
        <w:tab/>
        <w:t xml:space="preserve">                    </w:t>
      </w:r>
    </w:p>
    <w:sectPr w:rsidR="008123F5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9EAF" w14:textId="77777777" w:rsidR="001A5BDD" w:rsidRDefault="001A5BDD">
      <w:pPr>
        <w:spacing w:after="0" w:line="240" w:lineRule="auto"/>
      </w:pPr>
      <w:r>
        <w:separator/>
      </w:r>
    </w:p>
  </w:endnote>
  <w:endnote w:type="continuationSeparator" w:id="0">
    <w:p w14:paraId="101A7B7E" w14:textId="77777777" w:rsidR="001A5BDD" w:rsidRDefault="001A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8AC1" w14:textId="77777777" w:rsidR="008123F5" w:rsidRDefault="001A5BDD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5DACD824" w14:textId="77777777" w:rsidR="008123F5" w:rsidRDefault="008123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8885" w14:textId="77777777" w:rsidR="008123F5" w:rsidRDefault="008123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C7F3" w14:textId="77777777" w:rsidR="001A5BDD" w:rsidRDefault="001A5BDD">
      <w:pPr>
        <w:spacing w:after="0" w:line="240" w:lineRule="auto"/>
      </w:pPr>
      <w:r>
        <w:separator/>
      </w:r>
    </w:p>
  </w:footnote>
  <w:footnote w:type="continuationSeparator" w:id="0">
    <w:p w14:paraId="149BF0C4" w14:textId="77777777" w:rsidR="001A5BDD" w:rsidRDefault="001A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326"/>
    <w:multiLevelType w:val="multilevel"/>
    <w:tmpl w:val="E440227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21F121A"/>
    <w:multiLevelType w:val="multilevel"/>
    <w:tmpl w:val="3070C99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22C7DE8"/>
    <w:multiLevelType w:val="multilevel"/>
    <w:tmpl w:val="FC8E689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2EC4388"/>
    <w:multiLevelType w:val="multilevel"/>
    <w:tmpl w:val="DD128BF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03895F4C"/>
    <w:multiLevelType w:val="multilevel"/>
    <w:tmpl w:val="6A9E892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054A0E4B"/>
    <w:multiLevelType w:val="multilevel"/>
    <w:tmpl w:val="F1C231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08583D1A"/>
    <w:multiLevelType w:val="hybridMultilevel"/>
    <w:tmpl w:val="86E80A46"/>
    <w:lvl w:ilvl="0" w:tplc="9C40AD2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52BC47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562A43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73C603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1003AF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DD02D3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DB037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FB6DD4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68459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1190E32"/>
    <w:multiLevelType w:val="hybridMultilevel"/>
    <w:tmpl w:val="9A346968"/>
    <w:lvl w:ilvl="0" w:tplc="5920A20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13283D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DD423B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798AA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A269AD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ADCBB3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006E20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3D670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B80DB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2740E8C"/>
    <w:multiLevelType w:val="multilevel"/>
    <w:tmpl w:val="654A5EB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150B03F9"/>
    <w:multiLevelType w:val="multilevel"/>
    <w:tmpl w:val="37C25C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1B1C35C2"/>
    <w:multiLevelType w:val="hybridMultilevel"/>
    <w:tmpl w:val="29D07138"/>
    <w:lvl w:ilvl="0" w:tplc="EAAED98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891C763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370A3F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1F5C633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B180E8A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DD8560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37B45E8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30326C2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F7B8F502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 w15:restartNumberingAfterBreak="0">
    <w:nsid w:val="1BAE245D"/>
    <w:multiLevelType w:val="hybridMultilevel"/>
    <w:tmpl w:val="6EF65952"/>
    <w:lvl w:ilvl="0" w:tplc="18F2401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A20EDD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8CA2B5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01E7D4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DC039E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F9C546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760B9F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800262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66A372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3801155"/>
    <w:multiLevelType w:val="multilevel"/>
    <w:tmpl w:val="4A9CB4A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23F407ED"/>
    <w:multiLevelType w:val="hybridMultilevel"/>
    <w:tmpl w:val="85E07CFC"/>
    <w:lvl w:ilvl="0" w:tplc="43D4A17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AF28213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50E146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8FCD36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4B2934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F6C70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E6250E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D428A0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162085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47268F9"/>
    <w:multiLevelType w:val="hybridMultilevel"/>
    <w:tmpl w:val="B3E6ECBC"/>
    <w:lvl w:ilvl="0" w:tplc="8E20C9FA">
      <w:start w:val="1"/>
      <w:numFmt w:val="lowerLetter"/>
      <w:lvlText w:val="%1)"/>
      <w:lvlJc w:val="left"/>
      <w:pPr>
        <w:ind w:left="1854" w:hanging="360"/>
      </w:pPr>
    </w:lvl>
    <w:lvl w:ilvl="1" w:tplc="1D32917A">
      <w:start w:val="1"/>
      <w:numFmt w:val="lowerLetter"/>
      <w:lvlText w:val="%2."/>
      <w:lvlJc w:val="left"/>
      <w:pPr>
        <w:ind w:left="2574" w:hanging="360"/>
      </w:pPr>
    </w:lvl>
    <w:lvl w:ilvl="2" w:tplc="879C0464">
      <w:start w:val="1"/>
      <w:numFmt w:val="lowerLetter"/>
      <w:lvlText w:val="%3."/>
      <w:lvlJc w:val="left"/>
      <w:pPr>
        <w:ind w:left="3294" w:hanging="180"/>
      </w:pPr>
    </w:lvl>
    <w:lvl w:ilvl="3" w:tplc="CEAC4340">
      <w:start w:val="1"/>
      <w:numFmt w:val="decimal"/>
      <w:lvlText w:val="%4."/>
      <w:lvlJc w:val="left"/>
      <w:pPr>
        <w:ind w:left="4014" w:hanging="360"/>
      </w:pPr>
    </w:lvl>
    <w:lvl w:ilvl="4" w:tplc="78DAC3F6">
      <w:start w:val="1"/>
      <w:numFmt w:val="lowerLetter"/>
      <w:lvlText w:val="%5."/>
      <w:lvlJc w:val="left"/>
      <w:pPr>
        <w:ind w:left="4734" w:hanging="360"/>
      </w:pPr>
    </w:lvl>
    <w:lvl w:ilvl="5" w:tplc="62BEA4CA">
      <w:start w:val="1"/>
      <w:numFmt w:val="lowerRoman"/>
      <w:lvlText w:val="%6."/>
      <w:lvlJc w:val="right"/>
      <w:pPr>
        <w:ind w:left="5454" w:hanging="180"/>
      </w:pPr>
    </w:lvl>
    <w:lvl w:ilvl="6" w:tplc="8A72C354">
      <w:start w:val="1"/>
      <w:numFmt w:val="decimal"/>
      <w:lvlText w:val="%7."/>
      <w:lvlJc w:val="left"/>
      <w:pPr>
        <w:ind w:left="6174" w:hanging="360"/>
      </w:pPr>
    </w:lvl>
    <w:lvl w:ilvl="7" w:tplc="29446A66">
      <w:start w:val="1"/>
      <w:numFmt w:val="lowerLetter"/>
      <w:lvlText w:val="%8."/>
      <w:lvlJc w:val="left"/>
      <w:pPr>
        <w:ind w:left="6894" w:hanging="360"/>
      </w:pPr>
    </w:lvl>
    <w:lvl w:ilvl="8" w:tplc="2D184E50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7D01FA3"/>
    <w:multiLevelType w:val="multilevel"/>
    <w:tmpl w:val="AE44085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6" w15:restartNumberingAfterBreak="0">
    <w:nsid w:val="2D2A55BE"/>
    <w:multiLevelType w:val="hybridMultilevel"/>
    <w:tmpl w:val="39E8ECF2"/>
    <w:lvl w:ilvl="0" w:tplc="85EE85B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48CE4C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D965D4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52EA1F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138CF0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F04DE0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DE0F87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7DC536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B5E546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E105B59"/>
    <w:multiLevelType w:val="hybridMultilevel"/>
    <w:tmpl w:val="4FD65DA4"/>
    <w:lvl w:ilvl="0" w:tplc="B67C2BF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28EB1F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1D2D1B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CFA91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7CA060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C8880A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2F8B6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8CED50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286C48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2B62490"/>
    <w:multiLevelType w:val="multilevel"/>
    <w:tmpl w:val="ACF6C3CC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9" w15:restartNumberingAfterBreak="0">
    <w:nsid w:val="40E1350B"/>
    <w:multiLevelType w:val="multilevel"/>
    <w:tmpl w:val="6E96CA3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0" w15:restartNumberingAfterBreak="0">
    <w:nsid w:val="474A31F4"/>
    <w:multiLevelType w:val="multilevel"/>
    <w:tmpl w:val="58BA4F2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1" w15:restartNumberingAfterBreak="0">
    <w:nsid w:val="48A10FA3"/>
    <w:multiLevelType w:val="hybridMultilevel"/>
    <w:tmpl w:val="2F9485B4"/>
    <w:lvl w:ilvl="0" w:tplc="BEBA6274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9182B0F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0D650E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96EDB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F5E068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D3081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01C672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F90FB0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2B011F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8AB188B"/>
    <w:multiLevelType w:val="hybridMultilevel"/>
    <w:tmpl w:val="74426E3C"/>
    <w:lvl w:ilvl="0" w:tplc="8778A4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65F6F3F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944C58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0E2FD7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0FCFF3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CB2971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09A12A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6EA6F2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A6667B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9AE64C5"/>
    <w:multiLevelType w:val="hybridMultilevel"/>
    <w:tmpl w:val="6A6C12D6"/>
    <w:lvl w:ilvl="0" w:tplc="1130CBD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A02E966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727EE2D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DE4E07F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B1E071A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8E62BDC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909A032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6788415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98A8B0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4" w15:restartNumberingAfterBreak="0">
    <w:nsid w:val="4F943544"/>
    <w:multiLevelType w:val="hybridMultilevel"/>
    <w:tmpl w:val="81CCFFA0"/>
    <w:lvl w:ilvl="0" w:tplc="47A28EF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44A26F1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61805B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D6CA3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FD63AA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07CD98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F9005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DCAB0D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FE66AC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51AC0BF9"/>
    <w:multiLevelType w:val="hybridMultilevel"/>
    <w:tmpl w:val="EA4289D2"/>
    <w:lvl w:ilvl="0" w:tplc="E95C102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8426421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C4383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B9CA28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014D8E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8A86D6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A40D06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E48D13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886EB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585D3D2C"/>
    <w:multiLevelType w:val="multilevel"/>
    <w:tmpl w:val="1DFA6DA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7" w15:restartNumberingAfterBreak="0">
    <w:nsid w:val="5AE43591"/>
    <w:multiLevelType w:val="multilevel"/>
    <w:tmpl w:val="4E5EEB7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 w15:restartNumberingAfterBreak="0">
    <w:nsid w:val="5B7D0EC9"/>
    <w:multiLevelType w:val="multilevel"/>
    <w:tmpl w:val="BCB6180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9" w15:restartNumberingAfterBreak="0">
    <w:nsid w:val="5C061A72"/>
    <w:multiLevelType w:val="hybridMultilevel"/>
    <w:tmpl w:val="8A94B7C0"/>
    <w:lvl w:ilvl="0" w:tplc="B964D1B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F6697F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AB4727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ED2A4C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35C405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27A90A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458F5F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882F32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27084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615246E3"/>
    <w:multiLevelType w:val="hybridMultilevel"/>
    <w:tmpl w:val="91D2A644"/>
    <w:lvl w:ilvl="0" w:tplc="E82C942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8DD00E1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28E2E01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276D2F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248B51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038D1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CDA9CF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B624B0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96ED59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3352C3C"/>
    <w:multiLevelType w:val="multilevel"/>
    <w:tmpl w:val="7CBEE2A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2" w15:restartNumberingAfterBreak="0">
    <w:nsid w:val="68443E09"/>
    <w:multiLevelType w:val="hybridMultilevel"/>
    <w:tmpl w:val="24424A56"/>
    <w:lvl w:ilvl="0" w:tplc="2E0835D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976E3E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46EFBF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B42D76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2A0CC7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F78BD1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D3A66C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D2C99A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64EC2D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B0741A7"/>
    <w:multiLevelType w:val="multilevel"/>
    <w:tmpl w:val="B92A122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DFB17D0"/>
    <w:multiLevelType w:val="hybridMultilevel"/>
    <w:tmpl w:val="6046B43C"/>
    <w:lvl w:ilvl="0" w:tplc="DB2473BA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41AE088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61C8A83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158CF23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A7D05D1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A8CC4AF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C6728BD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E58A69A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D48FB2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5" w15:restartNumberingAfterBreak="0">
    <w:nsid w:val="75767E9E"/>
    <w:multiLevelType w:val="hybridMultilevel"/>
    <w:tmpl w:val="968AC82A"/>
    <w:lvl w:ilvl="0" w:tplc="7BAE2E06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E2EAE8F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18A53B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970D3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5ACC99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51AFEF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BF23DB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E7A4AA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9C824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79447C9"/>
    <w:multiLevelType w:val="multilevel"/>
    <w:tmpl w:val="53066BE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793D7199"/>
    <w:multiLevelType w:val="hybridMultilevel"/>
    <w:tmpl w:val="7A1049E2"/>
    <w:lvl w:ilvl="0" w:tplc="CB7CDBD6">
      <w:start w:val="1"/>
      <w:numFmt w:val="decimal"/>
      <w:lvlText w:val="(%1)"/>
      <w:lvlJc w:val="left"/>
      <w:pPr>
        <w:ind w:left="720" w:hanging="360"/>
      </w:pPr>
    </w:lvl>
    <w:lvl w:ilvl="1" w:tplc="1B74A590">
      <w:start w:val="1"/>
      <w:numFmt w:val="lowerLetter"/>
      <w:lvlText w:val="%2."/>
      <w:lvlJc w:val="left"/>
      <w:pPr>
        <w:ind w:left="1440" w:hanging="360"/>
      </w:pPr>
    </w:lvl>
    <w:lvl w:ilvl="2" w:tplc="00144CA8">
      <w:start w:val="1"/>
      <w:numFmt w:val="lowerRoman"/>
      <w:lvlText w:val="%3."/>
      <w:lvlJc w:val="right"/>
      <w:pPr>
        <w:ind w:left="2160" w:hanging="180"/>
      </w:pPr>
    </w:lvl>
    <w:lvl w:ilvl="3" w:tplc="20F845FA">
      <w:start w:val="1"/>
      <w:numFmt w:val="decimal"/>
      <w:lvlText w:val="%4."/>
      <w:lvlJc w:val="left"/>
      <w:pPr>
        <w:ind w:left="2880" w:hanging="360"/>
      </w:pPr>
    </w:lvl>
    <w:lvl w:ilvl="4" w:tplc="F2843BA2">
      <w:start w:val="1"/>
      <w:numFmt w:val="lowerLetter"/>
      <w:lvlText w:val="%5."/>
      <w:lvlJc w:val="left"/>
      <w:pPr>
        <w:ind w:left="3600" w:hanging="360"/>
      </w:pPr>
    </w:lvl>
    <w:lvl w:ilvl="5" w:tplc="4890323C">
      <w:start w:val="1"/>
      <w:numFmt w:val="lowerRoman"/>
      <w:lvlText w:val="%6."/>
      <w:lvlJc w:val="right"/>
      <w:pPr>
        <w:ind w:left="4320" w:hanging="180"/>
      </w:pPr>
    </w:lvl>
    <w:lvl w:ilvl="6" w:tplc="95CC2878">
      <w:start w:val="1"/>
      <w:numFmt w:val="decimal"/>
      <w:lvlText w:val="%7."/>
      <w:lvlJc w:val="left"/>
      <w:pPr>
        <w:ind w:left="5040" w:hanging="360"/>
      </w:pPr>
    </w:lvl>
    <w:lvl w:ilvl="7" w:tplc="02107A6A">
      <w:start w:val="1"/>
      <w:numFmt w:val="lowerLetter"/>
      <w:lvlText w:val="%8."/>
      <w:lvlJc w:val="left"/>
      <w:pPr>
        <w:ind w:left="5760" w:hanging="360"/>
      </w:pPr>
    </w:lvl>
    <w:lvl w:ilvl="8" w:tplc="AF6E857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A721A"/>
    <w:multiLevelType w:val="hybridMultilevel"/>
    <w:tmpl w:val="30CEA73A"/>
    <w:lvl w:ilvl="0" w:tplc="01021788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8B2F26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0DAF6C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6A2DC4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A909A9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DE8602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1B0879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338ED0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C92AD4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ACD5235"/>
    <w:multiLevelType w:val="hybridMultilevel"/>
    <w:tmpl w:val="FCFAB718"/>
    <w:lvl w:ilvl="0" w:tplc="B9E0410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4F6A2A76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5C06D3D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9126A1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7561A6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E10985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1FE03D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EE84A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5C69CF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B2C2ABA"/>
    <w:multiLevelType w:val="multilevel"/>
    <w:tmpl w:val="A0D2289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1" w15:restartNumberingAfterBreak="0">
    <w:nsid w:val="7C4654DE"/>
    <w:multiLevelType w:val="multilevel"/>
    <w:tmpl w:val="21E001C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19"/>
  </w:num>
  <w:num w:numId="2">
    <w:abstractNumId w:val="38"/>
  </w:num>
  <w:num w:numId="3">
    <w:abstractNumId w:val="31"/>
  </w:num>
  <w:num w:numId="4">
    <w:abstractNumId w:val="35"/>
  </w:num>
  <w:num w:numId="5">
    <w:abstractNumId w:val="15"/>
  </w:num>
  <w:num w:numId="6">
    <w:abstractNumId w:val="12"/>
  </w:num>
  <w:num w:numId="7">
    <w:abstractNumId w:val="13"/>
  </w:num>
  <w:num w:numId="8">
    <w:abstractNumId w:val="17"/>
  </w:num>
  <w:num w:numId="9">
    <w:abstractNumId w:val="29"/>
  </w:num>
  <w:num w:numId="10">
    <w:abstractNumId w:val="6"/>
  </w:num>
  <w:num w:numId="11">
    <w:abstractNumId w:val="34"/>
  </w:num>
  <w:num w:numId="12">
    <w:abstractNumId w:val="33"/>
  </w:num>
  <w:num w:numId="13">
    <w:abstractNumId w:val="9"/>
  </w:num>
  <w:num w:numId="14">
    <w:abstractNumId w:val="18"/>
  </w:num>
  <w:num w:numId="15">
    <w:abstractNumId w:val="41"/>
  </w:num>
  <w:num w:numId="16">
    <w:abstractNumId w:val="26"/>
  </w:num>
  <w:num w:numId="17">
    <w:abstractNumId w:val="5"/>
  </w:num>
  <w:num w:numId="18">
    <w:abstractNumId w:val="3"/>
  </w:num>
  <w:num w:numId="19">
    <w:abstractNumId w:val="21"/>
  </w:num>
  <w:num w:numId="20">
    <w:abstractNumId w:val="25"/>
  </w:num>
  <w:num w:numId="21">
    <w:abstractNumId w:val="39"/>
  </w:num>
  <w:num w:numId="22">
    <w:abstractNumId w:val="14"/>
  </w:num>
  <w:num w:numId="23">
    <w:abstractNumId w:val="30"/>
  </w:num>
  <w:num w:numId="24">
    <w:abstractNumId w:val="11"/>
  </w:num>
  <w:num w:numId="25">
    <w:abstractNumId w:val="24"/>
  </w:num>
  <w:num w:numId="26">
    <w:abstractNumId w:val="16"/>
  </w:num>
  <w:num w:numId="27">
    <w:abstractNumId w:val="32"/>
  </w:num>
  <w:num w:numId="28">
    <w:abstractNumId w:val="0"/>
  </w:num>
  <w:num w:numId="29">
    <w:abstractNumId w:val="23"/>
  </w:num>
  <w:num w:numId="30">
    <w:abstractNumId w:val="40"/>
  </w:num>
  <w:num w:numId="31">
    <w:abstractNumId w:val="4"/>
  </w:num>
  <w:num w:numId="32">
    <w:abstractNumId w:val="36"/>
  </w:num>
  <w:num w:numId="33">
    <w:abstractNumId w:val="28"/>
  </w:num>
  <w:num w:numId="34">
    <w:abstractNumId w:val="7"/>
  </w:num>
  <w:num w:numId="35">
    <w:abstractNumId w:val="10"/>
  </w:num>
  <w:num w:numId="36">
    <w:abstractNumId w:val="1"/>
  </w:num>
  <w:num w:numId="37">
    <w:abstractNumId w:val="2"/>
  </w:num>
  <w:num w:numId="38">
    <w:abstractNumId w:val="22"/>
  </w:num>
  <w:num w:numId="39">
    <w:abstractNumId w:val="37"/>
  </w:num>
  <w:num w:numId="40">
    <w:abstractNumId w:val="27"/>
  </w:num>
  <w:num w:numId="41">
    <w:abstractNumId w:val="2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53,35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750 000,00"/>
    <w:docVar w:name="DotisEndDate" w:val="31.12.2023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Poskytnuté prostředky budou_x000a_použity na následující účely:&lt;br&gt;- nákup velomateriálu, který je nezbytný pro_x000a_každou závodní sezonu&lt;br&gt;- zajištění komplexního závodního i mimo_x000a_závodního (tréninkového) servisu&lt;br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jednatel"/>
    <w:docVar w:name="DotisReqRepContactName" w:val="Vladimír Vávra"/>
    <w:docVar w:name="DotisReqStatOrgName" w:val="Vladimír Flégr"/>
    <w:docVar w:name="DotisReqTotalGrant" w:val="50 000"/>
    <w:docVar w:name="DotisStartDate" w:val="01.01.2023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7385904001/55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HK - cyklo s.r.o."/>
    <w:docVar w:name="ProfisSubjOIN" w:val="6482674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K Rybníku 178/2a, 50002  Hradec Králové"/>
    <w:docVar w:name="ProfisSubjTIN" w:val="CZ64812821"/>
    <w:docVar w:name="ProfisSubjTown" w:val="Jičín"/>
    <w:docVar w:name="ProfisSubjZIP" w:val="50601"/>
    <w:docVar w:name="ProfisTaskCode" w:val="22RGI01-0206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1774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Elkov Kasper 2023 2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8123F5"/>
    <w:rsid w:val="001A5BDD"/>
    <w:rsid w:val="004728CF"/>
    <w:rsid w:val="008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F860"/>
  <w15:docId w15:val="{632620F4-2104-45A9-8752-C8F18D3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2612</Words>
  <Characters>15415</Characters>
  <Application>Microsoft Office Word</Application>
  <DocSecurity>0</DocSecurity>
  <Lines>128</Lines>
  <Paragraphs>35</Paragraphs>
  <ScaleCrop>false</ScaleCrop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2023-04-06T14:36:00Z</dcterms:created>
  <dcterms:modified xsi:type="dcterms:W3CDTF">2023-04-06T14:36:00Z</dcterms:modified>
</cp:coreProperties>
</file>