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10883CD5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</w:t>
      </w:r>
      <w:r w:rsidR="00334B6C">
        <w:rPr>
          <w:rFonts w:asciiTheme="minorHAnsi" w:hAnsiTheme="minorHAnsi" w:cs="Arial"/>
          <w:b/>
          <w:sz w:val="44"/>
          <w:szCs w:val="44"/>
        </w:rPr>
        <w:t>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</w:t>
      </w:r>
      <w:r w:rsidR="00334B6C">
        <w:rPr>
          <w:rFonts w:asciiTheme="minorHAnsi" w:hAnsiTheme="minorHAnsi" w:cs="Arial"/>
          <w:b/>
          <w:sz w:val="44"/>
          <w:szCs w:val="44"/>
        </w:rPr>
        <w:t>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71E12C9E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……………………………………………………..</w:t>
      </w:r>
    </w:p>
    <w:p w14:paraId="19A9B6FC" w14:textId="1CA7DB9E" w:rsidR="006710A8" w:rsidRDefault="00BB47C7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</w:t>
      </w:r>
    </w:p>
    <w:p w14:paraId="1EDDB325" w14:textId="5F9EF6BA" w:rsidR="006710A8" w:rsidRPr="00D8665E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76E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………………………………………………………………………………..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08934E3" w14:textId="5FD28BEA" w:rsidR="006710A8" w:rsidRPr="00334B6C" w:rsidRDefault="00BB47C7" w:rsidP="006710A8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34B6C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334B6C">
        <w:rPr>
          <w:rFonts w:asciiTheme="minorHAnsi" w:hAnsiTheme="minorHAnsi" w:cstheme="minorHAnsi"/>
          <w:b/>
          <w:sz w:val="22"/>
          <w:szCs w:val="22"/>
        </w:rPr>
        <w:tab/>
      </w:r>
      <w:r w:rsidR="00334B6C" w:rsidRPr="00334B6C">
        <w:rPr>
          <w:rFonts w:asciiTheme="minorHAnsi" w:hAnsiTheme="minorHAnsi" w:cstheme="minorHAnsi"/>
          <w:b/>
          <w:sz w:val="22"/>
          <w:szCs w:val="22"/>
        </w:rPr>
        <w:t>KORAKO plus, s.r.o.</w:t>
      </w:r>
    </w:p>
    <w:p w14:paraId="0ABEDACF" w14:textId="6FE376DB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334B6C" w:rsidRPr="00334B6C">
        <w:rPr>
          <w:rFonts w:asciiTheme="minorHAnsi" w:hAnsiTheme="minorHAnsi" w:cstheme="minorHAnsi"/>
          <w:sz w:val="22"/>
          <w:szCs w:val="22"/>
        </w:rPr>
        <w:t>Bielická 369, 958 04 Partizánske, Slovenská republika</w:t>
      </w:r>
    </w:p>
    <w:p w14:paraId="56DCF1B8" w14:textId="618F4602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Zapsaný v OR: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334B6C" w:rsidRPr="00334B6C">
        <w:rPr>
          <w:rFonts w:asciiTheme="minorHAnsi" w:hAnsiTheme="minorHAnsi" w:cstheme="minorHAnsi"/>
          <w:sz w:val="22"/>
          <w:szCs w:val="22"/>
        </w:rPr>
        <w:t>Okresního soudu Trenčín, oddíl Sro, vložka č. 19923/R</w:t>
      </w:r>
    </w:p>
    <w:p w14:paraId="7531F45C" w14:textId="18A2D942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IČO: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334B6C" w:rsidRPr="00334B6C">
        <w:rPr>
          <w:rFonts w:asciiTheme="minorHAnsi" w:hAnsiTheme="minorHAnsi" w:cstheme="minorHAnsi"/>
          <w:sz w:val="22"/>
          <w:szCs w:val="22"/>
        </w:rPr>
        <w:t>43959954</w:t>
      </w:r>
    </w:p>
    <w:p w14:paraId="1878696E" w14:textId="4E69C391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Zastoupený: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…………………………………………..</w:t>
      </w:r>
    </w:p>
    <w:p w14:paraId="7D59FB1E" w14:textId="5E2A4A00" w:rsidR="00334B6C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</w:t>
      </w:r>
    </w:p>
    <w:p w14:paraId="404D757E" w14:textId="62AAC983" w:rsidR="006710A8" w:rsidRPr="00BB47C7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……………………………………………………………………………………..</w:t>
      </w:r>
    </w:p>
    <w:p w14:paraId="76A13E42" w14:textId="7EA7DD47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 xml:space="preserve">Banka: 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………………….</w:t>
      </w:r>
    </w:p>
    <w:p w14:paraId="22DE61DD" w14:textId="7A1396D3" w:rsidR="006710A8" w:rsidRPr="00334B6C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B6C">
        <w:rPr>
          <w:rFonts w:asciiTheme="minorHAnsi" w:hAnsiTheme="minorHAnsi" w:cstheme="minorHAnsi"/>
          <w:sz w:val="22"/>
          <w:szCs w:val="22"/>
        </w:rPr>
        <w:t>Číslo účtu:</w:t>
      </w:r>
      <w:r w:rsidRPr="00334B6C">
        <w:rPr>
          <w:rFonts w:asciiTheme="minorHAnsi" w:hAnsiTheme="minorHAnsi" w:cstheme="minorHAnsi"/>
          <w:sz w:val="22"/>
          <w:szCs w:val="22"/>
        </w:rPr>
        <w:tab/>
      </w:r>
      <w:r w:rsidR="00BB4158" w:rsidRPr="00BB4158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78556125" w:rsidR="00B67DEE" w:rsidRDefault="00B67DEE" w:rsidP="006710A8">
      <w:pPr>
        <w:pStyle w:val="Nadpis2"/>
      </w:pPr>
      <w:r w:rsidRPr="00B67DEE">
        <w:t xml:space="preserve">Rámcová </w:t>
      </w:r>
      <w:r w:rsidR="002E54D3">
        <w:t xml:space="preserve">kupní smlouva </w:t>
      </w:r>
      <w:r w:rsidRPr="00B67DEE">
        <w:t>(dále jen „</w:t>
      </w:r>
      <w:r w:rsidR="002E54D3">
        <w:t>Smlouva</w:t>
      </w:r>
      <w:r w:rsidRPr="00B67DEE">
        <w:t xml:space="preserve">“) je uzavřena na základě </w:t>
      </w:r>
      <w:r w:rsidR="00924B94">
        <w:t xml:space="preserve">veřejné zakázky </w:t>
      </w:r>
      <w:r w:rsidR="00AA69AD">
        <w:t>zadávané v dynamickém nákupním systému s názvem „</w:t>
      </w:r>
      <w:r w:rsidR="00516ACD">
        <w:rPr>
          <w:b/>
        </w:rPr>
        <w:t xml:space="preserve">Dynamický nákupní systém na dodávky papírové a ostatní hygieny – </w:t>
      </w:r>
      <w:r w:rsidR="00516ACD" w:rsidRPr="00516ACD">
        <w:rPr>
          <w:b/>
        </w:rPr>
        <w:t xml:space="preserve">1. výzva - </w:t>
      </w:r>
      <w:r w:rsidR="00516ACD" w:rsidRPr="00766D64">
        <w:rPr>
          <w:b/>
        </w:rPr>
        <w:t>Kategorie IV. Ostatní hygiena bez náhradního plnění</w:t>
      </w:r>
      <w:r w:rsidR="00AA69AD" w:rsidRPr="00766D64">
        <w:t>“.</w:t>
      </w:r>
    </w:p>
    <w:p w14:paraId="14E5854A" w14:textId="282E83B7" w:rsidR="00BB7C56" w:rsidRPr="00B67DEE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o něž byla</w:t>
      </w:r>
      <w:r w:rsidR="00AA69AD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12429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34D66F39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</w:t>
      </w:r>
      <w:r w:rsidR="001C486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766D64">
        <w:rPr>
          <w:rFonts w:asciiTheme="minorHAnsi" w:hAnsiTheme="minorHAnsi" w:cstheme="minorHAnsi"/>
          <w:sz w:val="22"/>
          <w:szCs w:val="22"/>
        </w:rPr>
        <w:t xml:space="preserve">dodávky </w:t>
      </w:r>
      <w:r w:rsidR="00516ACD" w:rsidRPr="00766D64">
        <w:t xml:space="preserve">ostatní hygieny bez náhradního plnění </w:t>
      </w:r>
      <w:r w:rsidRPr="00516ACD">
        <w:rPr>
          <w:rFonts w:asciiTheme="minorHAnsi" w:hAnsiTheme="minorHAnsi" w:cstheme="minorHAnsi"/>
          <w:sz w:val="22"/>
          <w:szCs w:val="22"/>
        </w:rPr>
        <w:t xml:space="preserve">(dále </w:t>
      </w:r>
      <w:r w:rsidRPr="0078031F">
        <w:rPr>
          <w:rFonts w:asciiTheme="minorHAnsi" w:hAnsiTheme="minorHAnsi" w:cstheme="minorHAnsi"/>
          <w:sz w:val="22"/>
          <w:szCs w:val="22"/>
        </w:rPr>
        <w:t>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4A4BF9EF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>
        <w:rPr>
          <w:rFonts w:asciiTheme="minorHAnsi" w:hAnsiTheme="minorHAnsi" w:cstheme="minorHAnsi"/>
          <w:sz w:val="22"/>
          <w:szCs w:val="22"/>
        </w:rPr>
        <w:t xml:space="preserve">1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</w:t>
      </w:r>
      <w:r w:rsidR="00C550CD">
        <w:rPr>
          <w:rFonts w:asciiTheme="minorHAnsi" w:hAnsiTheme="minorHAnsi" w:cstheme="minorHAnsi"/>
          <w:sz w:val="22"/>
          <w:szCs w:val="22"/>
        </w:rPr>
        <w:t>.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>
        <w:rPr>
          <w:rFonts w:asciiTheme="minorHAnsi" w:hAnsiTheme="minorHAnsi" w:cstheme="minorHAnsi"/>
          <w:sz w:val="22"/>
          <w:szCs w:val="22"/>
        </w:rPr>
        <w:t>kupní smlouvou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5D8A8B02" w14:textId="0A12436A" w:rsidR="007728D3" w:rsidRPr="002E54D3" w:rsidRDefault="002E54D3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347BCF" w:rsidRPr="002E54D3">
        <w:rPr>
          <w:rFonts w:asciiTheme="minorHAnsi" w:hAnsiTheme="minorHAnsi"/>
          <w:sz w:val="22"/>
          <w:szCs w:val="22"/>
        </w:rPr>
        <w:t xml:space="preserve"> je uzavř</w:t>
      </w:r>
      <w:r w:rsidR="00060B37" w:rsidRPr="002E54D3">
        <w:rPr>
          <w:rFonts w:asciiTheme="minorHAnsi" w:hAnsiTheme="minorHAnsi"/>
          <w:sz w:val="22"/>
          <w:szCs w:val="22"/>
        </w:rPr>
        <w:t xml:space="preserve">ena </w:t>
      </w:r>
      <w:r w:rsidR="002455D3">
        <w:rPr>
          <w:rFonts w:asciiTheme="minorHAnsi" w:hAnsiTheme="minorHAnsi"/>
          <w:sz w:val="22"/>
          <w:szCs w:val="22"/>
        </w:rPr>
        <w:t>na</w:t>
      </w:r>
      <w:r w:rsidRPr="002E54D3">
        <w:rPr>
          <w:rFonts w:asciiTheme="minorHAnsi" w:hAnsiTheme="minorHAnsi"/>
          <w:sz w:val="22"/>
          <w:szCs w:val="22"/>
        </w:rPr>
        <w:t xml:space="preserve"> dobu </w:t>
      </w:r>
      <w:r w:rsidR="007276DA">
        <w:rPr>
          <w:rFonts w:asciiTheme="minorHAnsi" w:hAnsiTheme="minorHAnsi"/>
          <w:sz w:val="22"/>
          <w:szCs w:val="22"/>
        </w:rPr>
        <w:t>určitou, a to do 30. 06. 2023.</w:t>
      </w:r>
      <w:r w:rsidR="00060B37" w:rsidRPr="002E54D3">
        <w:rPr>
          <w:rFonts w:asciiTheme="minorHAnsi" w:hAnsiTheme="minorHAnsi"/>
          <w:sz w:val="22"/>
          <w:szCs w:val="22"/>
        </w:rPr>
        <w:t xml:space="preserve"> Plnění </w:t>
      </w:r>
      <w:r w:rsidR="00D36534">
        <w:rPr>
          <w:rFonts w:asciiTheme="minorHAnsi" w:hAnsiTheme="minorHAnsi"/>
          <w:sz w:val="22"/>
          <w:szCs w:val="22"/>
        </w:rPr>
        <w:t xml:space="preserve">z této Smlouvy </w:t>
      </w:r>
      <w:r w:rsidR="00D36534" w:rsidRPr="00766D64">
        <w:rPr>
          <w:rFonts w:asciiTheme="minorHAnsi" w:hAnsiTheme="minorHAnsi"/>
          <w:sz w:val="22"/>
          <w:szCs w:val="22"/>
        </w:rPr>
        <w:t>bude zahájeno</w:t>
      </w:r>
      <w:r w:rsidR="006E16DF" w:rsidRPr="00766D64">
        <w:rPr>
          <w:rFonts w:asciiTheme="minorHAnsi" w:hAnsiTheme="minorHAnsi"/>
          <w:sz w:val="22"/>
          <w:szCs w:val="22"/>
        </w:rPr>
        <w:t xml:space="preserve"> </w:t>
      </w:r>
      <w:r w:rsidR="00236D57" w:rsidRPr="00766D64">
        <w:rPr>
          <w:rFonts w:asciiTheme="minorHAnsi" w:hAnsiTheme="minorHAnsi"/>
          <w:sz w:val="22"/>
          <w:szCs w:val="22"/>
        </w:rPr>
        <w:t>dne</w:t>
      </w:r>
      <w:r w:rsidR="007276DA">
        <w:rPr>
          <w:rFonts w:asciiTheme="minorHAnsi" w:hAnsiTheme="minorHAnsi"/>
          <w:sz w:val="22"/>
          <w:szCs w:val="22"/>
        </w:rPr>
        <w:t>m účinnosti Smlouvy.</w:t>
      </w:r>
      <w:r w:rsidRPr="002E54D3">
        <w:rPr>
          <w:rFonts w:asciiTheme="minorHAnsi" w:hAnsiTheme="minorHAnsi"/>
          <w:sz w:val="22"/>
          <w:szCs w:val="22"/>
        </w:rPr>
        <w:t xml:space="preserve"> </w:t>
      </w:r>
    </w:p>
    <w:p w14:paraId="2FE1B852" w14:textId="44D8BD1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="00415830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7186F30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.</w:t>
      </w:r>
    </w:p>
    <w:p w14:paraId="3649EE97" w14:textId="257A333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52FF8" w:rsidRPr="00552FF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="002320A8">
        <w:rPr>
          <w:sz w:val="22"/>
          <w:szCs w:val="22"/>
        </w:rPr>
        <w:t xml:space="preserve">potvrzení o 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69904910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>500,</w:t>
      </w:r>
      <w:r w:rsidR="002320A8">
        <w:rPr>
          <w:b/>
          <w:sz w:val="22"/>
          <w:szCs w:val="22"/>
        </w:rPr>
        <w:t>00</w:t>
      </w:r>
      <w:r w:rsidR="00F75B13">
        <w:rPr>
          <w:b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701FD7C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C4868">
        <w:rPr>
          <w:sz w:val="22"/>
          <w:szCs w:val="22"/>
        </w:rPr>
        <w:t>5.</w:t>
      </w:r>
      <w:r w:rsidR="002455D3">
        <w:rPr>
          <w:sz w:val="22"/>
          <w:szCs w:val="22"/>
        </w:rPr>
        <w:t>4</w:t>
      </w:r>
      <w:r w:rsidR="00C550CD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1C4868">
        <w:rPr>
          <w:sz w:val="22"/>
          <w:szCs w:val="22"/>
        </w:rPr>
        <w:t>5. 4.</w:t>
      </w:r>
      <w:r w:rsidRPr="006E7307">
        <w:rPr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 nebudou realizovány.</w:t>
      </w:r>
    </w:p>
    <w:p w14:paraId="61C3525A" w14:textId="6AE77D4A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Pr="006E7307">
        <w:rPr>
          <w:b/>
          <w:sz w:val="22"/>
          <w:szCs w:val="22"/>
        </w:rPr>
        <w:t xml:space="preserve"> e-shop</w:t>
      </w:r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. V případě dočasné nefunkčnosti nebo nevyhovujícího stavu e-shopu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DF47862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e-shop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 xml:space="preserve">uvedený ve 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. </w:t>
      </w:r>
    </w:p>
    <w:p w14:paraId="45B625A0" w14:textId="77777777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t xml:space="preserve">Objednávka se považuje za doručenou potvrzením přijetí zprávy v systému CNPK e-shop, případně potvrzením přijetí e-mailu </w:t>
      </w:r>
    </w:p>
    <w:p w14:paraId="4A761A74" w14:textId="77CE5020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6DEA5F6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přílohy č. </w:t>
      </w:r>
      <w:r w:rsidR="002455D3">
        <w:rPr>
          <w:rFonts w:asciiTheme="minorHAnsi" w:hAnsiTheme="minorHAnsi"/>
          <w:sz w:val="22"/>
          <w:szCs w:val="22"/>
        </w:rPr>
        <w:t>2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2455D3">
        <w:rPr>
          <w:rFonts w:asciiTheme="minorHAnsi" w:hAnsiTheme="minorHAnsi"/>
          <w:sz w:val="22"/>
          <w:szCs w:val="22"/>
        </w:rPr>
        <w:t>Zadávací dokumentace k zavedení DNS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Default="00A51D17" w:rsidP="00A51D17">
      <w:pPr>
        <w:pStyle w:val="Nadpis2"/>
      </w:pPr>
      <w:r w:rsidRPr="00A51D17"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6D5DF3E8" w14:textId="3BABC27C" w:rsidR="00432B10" w:rsidRPr="00432B10" w:rsidRDefault="00A51D17" w:rsidP="00432B10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51D17">
        <w:rPr>
          <w:rFonts w:ascii="Calibri" w:hAnsi="Calibri" w:cs="Calibri"/>
          <w:sz w:val="22"/>
          <w:szCs w:val="22"/>
        </w:rPr>
        <w:t xml:space="preserve">7.4 </w:t>
      </w:r>
      <w:r>
        <w:rPr>
          <w:rFonts w:ascii="Calibri" w:hAnsi="Calibri" w:cs="Calibri"/>
          <w:sz w:val="22"/>
          <w:szCs w:val="22"/>
        </w:rPr>
        <w:tab/>
      </w:r>
      <w:r w:rsidRPr="00A51D17">
        <w:rPr>
          <w:rFonts w:ascii="Calibri" w:hAnsi="Calibri" w:cs="Calibri"/>
          <w:sz w:val="22"/>
          <w:szCs w:val="22"/>
        </w:rPr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6E94C4B0" w:rsidR="00C96FCA" w:rsidRPr="00766D64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po dobu účinnosti a na </w:t>
      </w:r>
      <w:r w:rsidRPr="00766D64">
        <w:rPr>
          <w:rFonts w:asciiTheme="minorHAnsi" w:hAnsiTheme="minorHAnsi"/>
          <w:sz w:val="22"/>
          <w:szCs w:val="22"/>
        </w:rPr>
        <w:t xml:space="preserve">základě této </w:t>
      </w:r>
      <w:r w:rsidR="00B31C37" w:rsidRPr="00766D64">
        <w:rPr>
          <w:rFonts w:asciiTheme="minorHAnsi" w:hAnsiTheme="minorHAnsi" w:cstheme="minorHAnsi"/>
          <w:sz w:val="22"/>
          <w:szCs w:val="22"/>
        </w:rPr>
        <w:t>Smlouvy</w:t>
      </w:r>
      <w:r w:rsidRPr="00766D64">
        <w:rPr>
          <w:rFonts w:asciiTheme="minorHAnsi" w:hAnsiTheme="minorHAnsi"/>
          <w:sz w:val="22"/>
          <w:szCs w:val="22"/>
        </w:rPr>
        <w:t xml:space="preserve"> nepřekročí částku </w:t>
      </w:r>
      <w:r w:rsidR="00516ACD" w:rsidRPr="00766D64">
        <w:rPr>
          <w:b/>
          <w:u w:val="single"/>
        </w:rPr>
        <w:t xml:space="preserve">350 000,- Kč bez </w:t>
      </w:r>
      <w:r w:rsidR="00766D64" w:rsidRPr="00766D64">
        <w:rPr>
          <w:b/>
          <w:u w:val="single"/>
        </w:rPr>
        <w:t xml:space="preserve">DPH </w:t>
      </w:r>
      <w:r w:rsidRPr="00766D64">
        <w:rPr>
          <w:rFonts w:asciiTheme="minorHAnsi" w:hAnsiTheme="minorHAnsi"/>
          <w:sz w:val="22"/>
          <w:szCs w:val="22"/>
        </w:rPr>
        <w:t xml:space="preserve">(slovy: </w:t>
      </w:r>
      <w:r w:rsidR="00516ACD" w:rsidRPr="00766D64">
        <w:rPr>
          <w:rFonts w:asciiTheme="minorHAnsi" w:hAnsiTheme="minorHAnsi"/>
          <w:sz w:val="22"/>
          <w:szCs w:val="22"/>
        </w:rPr>
        <w:t xml:space="preserve">třistapadesáttisíc </w:t>
      </w:r>
      <w:r w:rsidR="006C0B8B" w:rsidRPr="00766D64">
        <w:rPr>
          <w:rFonts w:asciiTheme="minorHAnsi" w:hAnsiTheme="minorHAnsi"/>
          <w:sz w:val="22"/>
          <w:szCs w:val="22"/>
        </w:rPr>
        <w:t>korun</w:t>
      </w:r>
      <w:r w:rsidR="00E534C9" w:rsidRPr="00766D64">
        <w:rPr>
          <w:rFonts w:asciiTheme="minorHAnsi" w:hAnsiTheme="minorHAnsi"/>
          <w:sz w:val="22"/>
          <w:szCs w:val="22"/>
        </w:rPr>
        <w:t xml:space="preserve"> </w:t>
      </w:r>
      <w:r w:rsidR="006C0B8B" w:rsidRPr="00766D64">
        <w:rPr>
          <w:rFonts w:asciiTheme="minorHAnsi" w:hAnsiTheme="minorHAnsi"/>
          <w:sz w:val="22"/>
          <w:szCs w:val="22"/>
        </w:rPr>
        <w:t>českých</w:t>
      </w:r>
      <w:r w:rsidRPr="00766D64">
        <w:rPr>
          <w:rFonts w:asciiTheme="minorHAnsi" w:hAnsiTheme="minorHAnsi"/>
          <w:sz w:val="22"/>
          <w:szCs w:val="22"/>
        </w:rPr>
        <w:t>)</w:t>
      </w:r>
      <w:r w:rsidRPr="00766D64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lastRenderedPageBreak/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43D10C77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4B668722" w14:textId="17751737" w:rsidR="005738E4" w:rsidRDefault="00176454" w:rsidP="005738E4">
      <w:pPr>
        <w:pStyle w:val="Nadpis2"/>
      </w:pPr>
      <w:r>
        <w:t>Kupující si</w:t>
      </w:r>
      <w:r w:rsidR="005738E4">
        <w:t xml:space="preserve"> vyhradil v čl. 2.4</w:t>
      </w:r>
      <w:r w:rsidR="005738E4" w:rsidRPr="001605DF">
        <w:t xml:space="preserve"> Výzvy</w:t>
      </w:r>
      <w:r w:rsidR="005738E4">
        <w:t xml:space="preserve"> změny závazku, které se týkají možného prodloužení dodací lhůty, předpokládaného termínu dodání a zvýšení kupní ceny v případě změny sazby DPH. </w:t>
      </w:r>
    </w:p>
    <w:p w14:paraId="4B6D0905" w14:textId="70F24A5B" w:rsidR="00432B10" w:rsidRPr="00432B10" w:rsidRDefault="00432B10" w:rsidP="00432B10">
      <w:pPr>
        <w:pStyle w:val="Nadpis2"/>
        <w:rPr>
          <w:rFonts w:asciiTheme="minorHAnsi" w:hAnsiTheme="minorHAnsi"/>
          <w:sz w:val="22"/>
          <w:szCs w:val="22"/>
        </w:rPr>
      </w:pPr>
      <w:r w:rsidRPr="00A43A9B">
        <w:rPr>
          <w:rFonts w:asciiTheme="minorHAnsi" w:hAnsiTheme="minorHAnsi"/>
          <w:sz w:val="22"/>
          <w:szCs w:val="22"/>
        </w:rPr>
        <w:t>Kupující si vyhradil v zadávacích podmínkách veřejné zakázky, konkrétně v čl. 2.</w:t>
      </w:r>
      <w:r>
        <w:rPr>
          <w:rFonts w:asciiTheme="minorHAnsi" w:hAnsiTheme="minorHAnsi"/>
          <w:sz w:val="22"/>
          <w:szCs w:val="22"/>
        </w:rPr>
        <w:t>4</w:t>
      </w:r>
      <w:r w:rsidRPr="00A43A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Výzvy k podání nabídky</w:t>
      </w:r>
      <w:r w:rsidRPr="00A43A9B">
        <w:rPr>
          <w:rFonts w:asciiTheme="minorHAnsi" w:hAnsiTheme="minorHAnsi"/>
          <w:sz w:val="22"/>
          <w:szCs w:val="22"/>
        </w:rPr>
        <w:t>, změnu závazku podle § 100 odst. 2 ZZVZ, kdy je oprávněn v případě předčasného ukončení této Smlouvy uzavřít novou smlouvu s dodavatelem, který se umístil další v pořadí.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6E7307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B31C37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31C3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1003AD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1003AD">
        <w:t xml:space="preserve">pokud kupující zjistí, že v rámci plnění došlo k porušení pracovněprávních předpisů, zejména zákona </w:t>
      </w:r>
      <w:r w:rsidRPr="001003AD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1F72EDFA" w14:textId="77777777" w:rsidR="008B0C69" w:rsidRDefault="008B0C69" w:rsidP="008B0C6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není dotčeno právo smluvních stran na náhradu škody podle platných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2D0762D6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</w:t>
      </w:r>
      <w:r w:rsidR="001476EB">
        <w:rPr>
          <w:rFonts w:asciiTheme="minorHAnsi" w:hAnsiTheme="minorHAnsi" w:cstheme="minorHAnsi"/>
          <w:sz w:val="22"/>
          <w:szCs w:val="22"/>
        </w:rPr>
        <w:t>mlouva</w:t>
      </w:r>
      <w:r w:rsidRPr="00F75B13">
        <w:rPr>
          <w:rFonts w:asciiTheme="minorHAnsi" w:hAnsiTheme="minorHAnsi"/>
          <w:sz w:val="22"/>
          <w:szCs w:val="22"/>
        </w:rPr>
        <w:t xml:space="preserve">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FB08B7F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zajistí kupující nejpozději do 15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1026D864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623EDD8D" w14:textId="77777777" w:rsidR="00C903CD" w:rsidRDefault="00894589" w:rsidP="00C903CD">
      <w:pPr>
        <w:pStyle w:val="Nadpis2"/>
        <w:rPr>
          <w:rFonts w:asciiTheme="minorHAnsi" w:hAnsiTheme="minorHAnsi"/>
          <w:sz w:val="22"/>
          <w:szCs w:val="22"/>
        </w:rPr>
      </w:pPr>
      <w:r w:rsidRPr="00C903CD">
        <w:rPr>
          <w:rFonts w:asciiTheme="minorHAnsi" w:hAnsiTheme="minorHAnsi"/>
          <w:sz w:val="22"/>
          <w:szCs w:val="22"/>
        </w:rPr>
        <w:lastRenderedPageBreak/>
        <w:t xml:space="preserve">Smluvní strany prohlašují, že si text </w:t>
      </w:r>
      <w:r w:rsidR="001476EB" w:rsidRPr="00C903CD">
        <w:rPr>
          <w:rFonts w:asciiTheme="minorHAnsi" w:hAnsiTheme="minorHAnsi" w:cstheme="minorHAnsi"/>
          <w:sz w:val="22"/>
          <w:szCs w:val="22"/>
        </w:rPr>
        <w:t>Smlouvy</w:t>
      </w:r>
      <w:r w:rsidRPr="00C903CD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 w:rsidRPr="00C903CD">
        <w:rPr>
          <w:rFonts w:asciiTheme="minorHAnsi" w:hAnsiTheme="minorHAnsi"/>
          <w:sz w:val="22"/>
          <w:szCs w:val="22"/>
        </w:rPr>
        <w:t>Smlouva</w:t>
      </w:r>
      <w:r w:rsidRPr="00C903CD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7601F3DF" w14:textId="77777777" w:rsidR="00C903CD" w:rsidRDefault="00C903CD" w:rsidP="00C903C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404BAE1" w14:textId="20C66448" w:rsidR="00332BAA" w:rsidRPr="00C903CD" w:rsidRDefault="00332BAA" w:rsidP="00C903C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C903CD">
        <w:rPr>
          <w:rFonts w:asciiTheme="minorHAnsi" w:hAnsiTheme="minorHAnsi"/>
          <w:sz w:val="22"/>
          <w:szCs w:val="22"/>
        </w:rPr>
        <w:t>Přílohy:</w:t>
      </w:r>
    </w:p>
    <w:p w14:paraId="273070B7" w14:textId="207AA986" w:rsidR="006710A8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8B03ED">
        <w:rPr>
          <w:rFonts w:asciiTheme="minorHAnsi" w:hAnsiTheme="minorHAnsi" w:cs="Calibri"/>
          <w:sz w:val="22"/>
          <w:szCs w:val="22"/>
        </w:rPr>
        <w:t>Technická specifikace z</w:t>
      </w:r>
      <w:r w:rsidR="00432B10">
        <w:rPr>
          <w:rFonts w:asciiTheme="minorHAnsi" w:hAnsiTheme="minorHAnsi" w:cs="Calibri"/>
          <w:sz w:val="22"/>
          <w:szCs w:val="22"/>
        </w:rPr>
        <w:t> </w:t>
      </w:r>
      <w:r w:rsidR="008B03ED">
        <w:rPr>
          <w:rFonts w:asciiTheme="minorHAnsi" w:hAnsiTheme="minorHAnsi" w:cs="Calibri"/>
          <w:sz w:val="22"/>
          <w:szCs w:val="22"/>
        </w:rPr>
        <w:t>nabídky</w:t>
      </w:r>
    </w:p>
    <w:p w14:paraId="4290BF1D" w14:textId="788688CA" w:rsidR="00432B10" w:rsidRPr="00334B6C" w:rsidRDefault="00432B10" w:rsidP="00334B6C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– Katalog </w:t>
      </w:r>
    </w:p>
    <w:p w14:paraId="0AF0584D" w14:textId="1DCEBBAE" w:rsidR="006710A8" w:rsidRDefault="006710A8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1F02D1CA" w14:textId="77777777" w:rsidR="00255F7B" w:rsidRPr="006E7307" w:rsidRDefault="00255F7B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4FF0922B" w:rsidR="002142D6" w:rsidRPr="006E7307" w:rsidRDefault="00DD071D" w:rsidP="00D43408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BB41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21.4.2023</w:t>
            </w:r>
          </w:p>
        </w:tc>
        <w:tc>
          <w:tcPr>
            <w:tcW w:w="4631" w:type="dxa"/>
          </w:tcPr>
          <w:p w14:paraId="6FB62F79" w14:textId="5B245EFA" w:rsidR="002142D6" w:rsidRPr="006E7307" w:rsidRDefault="002351A2" w:rsidP="00D43408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BB41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20.4.2023</w:t>
            </w:r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DA77F1">
        <w:tc>
          <w:tcPr>
            <w:tcW w:w="5573" w:type="dxa"/>
          </w:tcPr>
          <w:p w14:paraId="6ADECDF0" w14:textId="521BDFF2" w:rsidR="002142D6" w:rsidRPr="00211C28" w:rsidRDefault="00BB4158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BB4158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…………………………………………….</w:t>
            </w:r>
          </w:p>
        </w:tc>
        <w:tc>
          <w:tcPr>
            <w:tcW w:w="4631" w:type="dxa"/>
          </w:tcPr>
          <w:p w14:paraId="008F63BB" w14:textId="00DE77A5" w:rsidR="002142D6" w:rsidRPr="00334B6C" w:rsidRDefault="00BB4158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B4158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……………………………………….</w:t>
            </w:r>
            <w:r w:rsidR="00B63D77" w:rsidRPr="00334B6C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211C28" w:rsidRDefault="000908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A607A91" w14:textId="7FA7EA4A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013446" w:rsidRPr="0001344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 příspěvková organizace</w:t>
            </w:r>
          </w:p>
        </w:tc>
        <w:tc>
          <w:tcPr>
            <w:tcW w:w="4631" w:type="dxa"/>
          </w:tcPr>
          <w:p w14:paraId="124AFB89" w14:textId="663F9BD7" w:rsidR="004B2C3B" w:rsidRPr="00334B6C" w:rsidRDefault="00334B6C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334B6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0E30C108" w:rsidR="00971F5D" w:rsidRPr="00334B6C" w:rsidRDefault="00334B6C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334B6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KORAKO plus, s.r.o.</w:t>
            </w:r>
          </w:p>
        </w:tc>
      </w:tr>
    </w:tbl>
    <w:p w14:paraId="264F6F5E" w14:textId="77777777" w:rsidR="00727705" w:rsidRDefault="00727705" w:rsidP="00420AE1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p w14:paraId="31997CA2" w14:textId="684F0D98" w:rsidR="00420AE1" w:rsidRPr="00420AE1" w:rsidRDefault="00420AE1" w:rsidP="00420AE1">
      <w:pPr>
        <w:spacing w:after="240" w:line="276" w:lineRule="auto"/>
        <w:ind w:firstLine="709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vz.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</w:tblGrid>
      <w:tr w:rsidR="00420AE1" w:rsidRPr="00211C28" w14:paraId="7CA4F097" w14:textId="77777777" w:rsidTr="00420AE1">
        <w:trPr>
          <w:trHeight w:val="1204"/>
        </w:trPr>
        <w:tc>
          <w:tcPr>
            <w:tcW w:w="5542" w:type="dxa"/>
          </w:tcPr>
          <w:p w14:paraId="578D402D" w14:textId="324E59FC" w:rsidR="00420AE1" w:rsidRDefault="00BB4158" w:rsidP="00420AE1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BB4158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……………………………………..</w:t>
            </w:r>
          </w:p>
          <w:p w14:paraId="18BDC780" w14:textId="60E3E54C" w:rsidR="00420AE1" w:rsidRPr="00420AE1" w:rsidRDefault="00420AE1" w:rsidP="00420AE1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420AE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zástupkyně ředitelky, vedoucí oddělení dodávek a služeb </w:t>
            </w:r>
          </w:p>
          <w:p w14:paraId="5F7DEAC8" w14:textId="77777777" w:rsidR="00420AE1" w:rsidRPr="00420AE1" w:rsidRDefault="00420AE1" w:rsidP="00420AE1">
            <w:pPr>
              <w:tabs>
                <w:tab w:val="left" w:pos="2325"/>
                <w:tab w:val="center" w:pos="2427"/>
              </w:tabs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420AE1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 Plzeňského kraje, příspěvková organizace</w:t>
            </w:r>
          </w:p>
        </w:tc>
      </w:tr>
    </w:tbl>
    <w:p w14:paraId="5008BF6B" w14:textId="77777777" w:rsidR="00420AE1" w:rsidRDefault="00420AE1" w:rsidP="00420AE1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420AE1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D2097" w14:textId="77777777" w:rsidR="00650BD9" w:rsidRDefault="00650BD9">
      <w:r>
        <w:separator/>
      </w:r>
    </w:p>
    <w:p w14:paraId="7B7831C5" w14:textId="77777777" w:rsidR="00650BD9" w:rsidRDefault="00650BD9"/>
  </w:endnote>
  <w:endnote w:type="continuationSeparator" w:id="0">
    <w:p w14:paraId="045C531C" w14:textId="77777777" w:rsidR="00650BD9" w:rsidRDefault="00650BD9">
      <w:r>
        <w:continuationSeparator/>
      </w:r>
    </w:p>
    <w:p w14:paraId="64ED0F45" w14:textId="77777777" w:rsidR="00650BD9" w:rsidRDefault="00650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BB4158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BB4158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D8EC" w14:textId="77777777" w:rsidR="00650BD9" w:rsidRDefault="00650BD9">
      <w:r>
        <w:separator/>
      </w:r>
    </w:p>
    <w:p w14:paraId="7FC5A2AF" w14:textId="77777777" w:rsidR="00650BD9" w:rsidRDefault="00650BD9"/>
  </w:footnote>
  <w:footnote w:type="continuationSeparator" w:id="0">
    <w:p w14:paraId="6108C93F" w14:textId="77777777" w:rsidR="00650BD9" w:rsidRDefault="00650BD9">
      <w:r>
        <w:continuationSeparator/>
      </w:r>
    </w:p>
    <w:p w14:paraId="291D5E57" w14:textId="77777777" w:rsidR="00650BD9" w:rsidRDefault="00650B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75EA4F08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211EE4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FAD4D20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2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0"/>
  </w:num>
  <w:num w:numId="21">
    <w:abstractNumId w:val="16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3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003AD"/>
    <w:rsid w:val="00111261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454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68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20A8"/>
    <w:rsid w:val="0023516D"/>
    <w:rsid w:val="002351A2"/>
    <w:rsid w:val="00236D57"/>
    <w:rsid w:val="002455D3"/>
    <w:rsid w:val="00255F7B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30813"/>
    <w:rsid w:val="00332BAA"/>
    <w:rsid w:val="00334B6C"/>
    <w:rsid w:val="003449D5"/>
    <w:rsid w:val="00347BCF"/>
    <w:rsid w:val="003621F1"/>
    <w:rsid w:val="00367899"/>
    <w:rsid w:val="00370AC2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AE1"/>
    <w:rsid w:val="00420C9A"/>
    <w:rsid w:val="00432B10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16ACD"/>
    <w:rsid w:val="0052495B"/>
    <w:rsid w:val="0053196C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179C1"/>
    <w:rsid w:val="00622F7E"/>
    <w:rsid w:val="006303DB"/>
    <w:rsid w:val="00634F9B"/>
    <w:rsid w:val="0063562A"/>
    <w:rsid w:val="00636BDE"/>
    <w:rsid w:val="0063739B"/>
    <w:rsid w:val="006400F5"/>
    <w:rsid w:val="00643A63"/>
    <w:rsid w:val="006465E8"/>
    <w:rsid w:val="006476A9"/>
    <w:rsid w:val="00650BD9"/>
    <w:rsid w:val="00655E42"/>
    <w:rsid w:val="006625B4"/>
    <w:rsid w:val="00665B80"/>
    <w:rsid w:val="0067109F"/>
    <w:rsid w:val="006710A8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16DF"/>
    <w:rsid w:val="006E3B3E"/>
    <w:rsid w:val="006E7307"/>
    <w:rsid w:val="006E7E11"/>
    <w:rsid w:val="006F7144"/>
    <w:rsid w:val="006F7B4B"/>
    <w:rsid w:val="00702033"/>
    <w:rsid w:val="00704CA6"/>
    <w:rsid w:val="0071101D"/>
    <w:rsid w:val="00712944"/>
    <w:rsid w:val="00725061"/>
    <w:rsid w:val="007276DA"/>
    <w:rsid w:val="00727705"/>
    <w:rsid w:val="0073094B"/>
    <w:rsid w:val="00760CDF"/>
    <w:rsid w:val="00766D64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B03ED"/>
    <w:rsid w:val="008B0C69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C63C0"/>
    <w:rsid w:val="009D6C45"/>
    <w:rsid w:val="009E0A19"/>
    <w:rsid w:val="009F29ED"/>
    <w:rsid w:val="009F49E4"/>
    <w:rsid w:val="00A00A7C"/>
    <w:rsid w:val="00A16692"/>
    <w:rsid w:val="00A17D46"/>
    <w:rsid w:val="00A3190C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65B3"/>
    <w:rsid w:val="00B07AEA"/>
    <w:rsid w:val="00B10F0D"/>
    <w:rsid w:val="00B20961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158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17F21"/>
    <w:rsid w:val="00C249CB"/>
    <w:rsid w:val="00C30807"/>
    <w:rsid w:val="00C30AA0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03CD"/>
    <w:rsid w:val="00C91C42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6534"/>
    <w:rsid w:val="00D43408"/>
    <w:rsid w:val="00D43B1F"/>
    <w:rsid w:val="00D45F34"/>
    <w:rsid w:val="00D57825"/>
    <w:rsid w:val="00D72A24"/>
    <w:rsid w:val="00D76C7B"/>
    <w:rsid w:val="00D864DE"/>
    <w:rsid w:val="00D8665E"/>
    <w:rsid w:val="00D8744F"/>
    <w:rsid w:val="00D90BC5"/>
    <w:rsid w:val="00D964D4"/>
    <w:rsid w:val="00DA05BE"/>
    <w:rsid w:val="00DA5985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B5B92"/>
    <w:rsid w:val="00FC2CA7"/>
    <w:rsid w:val="00FC3FC8"/>
    <w:rsid w:val="00FC4822"/>
    <w:rsid w:val="00FD5A0B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346E-573C-417E-89AC-F01A31D8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0</TotalTime>
  <Pages>6</Pages>
  <Words>1960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13499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2023-04-19T13:06:00Z</cp:lastPrinted>
  <dcterms:created xsi:type="dcterms:W3CDTF">2023-04-21T08:43:00Z</dcterms:created>
  <dcterms:modified xsi:type="dcterms:W3CDTF">2023-04-21T08:43:00Z</dcterms:modified>
</cp:coreProperties>
</file>