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Změna přílohy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1 ke smlouvě o vedení účetnictví</w:t>
        <w:br/>
        <w:t>Základní škola s rozšířenou výukou jazyků, Praha 13, Bronzová 2027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SAZBY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vedení účetnictví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Účetnictví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44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Základní sazba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4660 Kč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měsíc do 100 zaúčtovaných položek v měsíci.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 každou další položku do 1200 zaúčtovaných položek v měsíci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22,2 Kč.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58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 každou další položku v měsíci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11,2 Kč.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8" w:val="left"/>
        </w:tabs>
        <w:bidi w:val="0"/>
        <w:spacing w:before="0" w:line="254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pozdním odevzdání podkladů se sazby zvyšují o 20% za každý měsíc zdržení, nejvýše o 100%.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8" w:val="left"/>
        </w:tabs>
        <w:bidi w:val="0"/>
        <w:spacing w:before="0" w:after="240" w:line="240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Při pozdním odevzdání zaúčtovaných výsledků se sazby snižují o 10% za každý započatý týden zdržení, nejvýše na 50% základní sazby.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2.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Zaškolení a konzultace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44" w:val="left"/>
        </w:tabs>
        <w:bidi w:val="0"/>
        <w:spacing w:before="0" w:line="240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Základní zaškolení nové hospodářky (příprava podkladů v rozsahu 3 hodin) a dvou pracovníků příkazce (příprava roční závěrky v rozsahu 2 hodin/rok) je zahrnuto v základní sazbě.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line="240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Vydávání metodických pokynů a vzorových dokladů pro přípravu podkladů je zahrnuto v základní sazbě.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Konzultace při přebírání podkladů v rozsahu 1 hodiny je zahrnuta v základní sazbě.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</w:tabs>
        <w:bidi w:val="0"/>
        <w:spacing w:before="0" w:after="2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 každou započatou hodinu další vyžádané konzultace 830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Kč.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3.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Společná ustanovení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4" w:val="left"/>
        </w:tabs>
        <w:bidi w:val="0"/>
        <w:spacing w:before="0" w:line="254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vypočteným částkám se připočítává daň z přidané hodnoty dle příslušných předpisů.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8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Sazby platí od zpracování účetnictví 01/2023.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58" w:val="left"/>
        </w:tabs>
        <w:bidi w:val="0"/>
        <w:spacing w:before="0" w:after="760" w:line="257" w:lineRule="auto"/>
        <w:ind w:left="280" w:right="0" w:hanging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Příkazník je oprávněn jednou ročně upravit smluvní cenu služeb dle této smlouvy na základě zveřejnění Českého statistického úřadu o míře inflace. Informace o tomto navýšení bude zaslána spolu s fakturou za zpracování ledna.</w:t>
      </w:r>
    </w:p>
    <w:tbl>
      <w:tblPr>
        <w:tblOverlap w:val="never"/>
        <w:jc w:val="right"/>
        <w:tblLayout w:type="fixed"/>
      </w:tblPr>
      <w:tblGrid>
        <w:gridCol w:w="1306"/>
        <w:gridCol w:w="1728"/>
      </w:tblGrid>
      <w:tr>
        <w:trPr>
          <w:trHeight w:val="44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>
              <w:rPr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  <w:lang w:val="cs-CZ" w:eastAsia="cs-CZ" w:bidi="cs-CZ"/>
              </w:rPr>
              <w:t>I • v z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34"/>
                <w:szCs w:val="34"/>
              </w:rPr>
            </w:pPr>
            <w:r>
              <w:rPr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  <w:lang w:val="cs-CZ" w:eastAsia="cs-CZ" w:bidi="cs-CZ"/>
              </w:rPr>
              <w:t>Jiri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Segoe UI" w:eastAsia="Segoe UI" w:hAnsi="Segoe UI" w:cs="Segoe UI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Digitálně podepsal Jiří Olmer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4"/>
                <w:szCs w:val="34"/>
              </w:rPr>
            </w:pPr>
            <w:r>
              <w:rPr>
                <w:color w:val="000000"/>
                <w:spacing w:val="0"/>
                <w:w w:val="100"/>
                <w:position w:val="0"/>
                <w:sz w:val="34"/>
                <w:szCs w:val="34"/>
                <w:shd w:val="clear" w:color="auto" w:fill="auto"/>
                <w:lang w:val="cs-CZ" w:eastAsia="cs-CZ" w:bidi="cs-CZ"/>
              </w:rPr>
              <w:t>Olmer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rFonts w:ascii="Segoe UI" w:eastAsia="Segoe UI" w:hAnsi="Segoe UI" w:cs="Segoe UI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Datum: 2023.04.13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0" w:right="0" w:firstLine="260"/>
              <w:jc w:val="left"/>
              <w:rPr>
                <w:sz w:val="17"/>
                <w:szCs w:val="17"/>
              </w:rPr>
            </w:pPr>
            <w:r>
              <w:rPr>
                <w:rFonts w:ascii="Segoe UI" w:eastAsia="Segoe UI" w:hAnsi="Segoe UI" w:cs="Segoe UI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15:12:04 +02'00'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6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příkazníka</w:t>
      </w:r>
    </w:p>
    <w:sectPr>
      <w:footnotePr>
        <w:pos w:val="pageBottom"/>
        <w:numFmt w:val="decimal"/>
        <w:numRestart w:val="continuous"/>
      </w:footnotePr>
      <w:pgSz w:w="11900" w:h="16840"/>
      <w:pgMar w:top="1714" w:left="1607" w:right="1556" w:bottom="1714" w:header="1286" w:footer="128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8">
    <w:name w:val="Titulek tabulky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Jiné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spacing w:after="24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Style7">
    <w:name w:val="Titulek tabulky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Jiné"/>
    <w:basedOn w:val="Normal"/>
    <w:link w:val="CharStyle10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