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Objednávka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Objednavatel: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Zámecké návrší z. ú.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Jiráskova 133 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570 01 Litomyšl</w:t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Česká republika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IČ: 27501485 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DIČ: CZ27501485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Dodavatel: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Geodézie Česká Třebová s.r.o.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Palackého 297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560 02 Česká Třebová</w:t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IČ: 26010623</w:t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DIČ: CZ26010623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Předmět objednávky:</w:t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Objednáváme u Vás dovoz obědů a večeří v termínu 3. - 13. dubna 2023.</w:t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 Litomyšli dne 31. března 2023</w:t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Ilona Suchá</w:t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Zámecké návrší z. 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A87651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8765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Te7fPMJMp98Z8P8GqJ5RvqVjCA==">AMUW2mWKqhHx4Bf//P/LwGXjBDeqd/rTH67I8wNRcTe1pp80UySRY9SuBkcYDct+PwRIqxt5Ja3x47oLHaA75jJM/MRR0N+YQRChV5hr04AJGK1xFlPcY18=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2023-01-21T10:16:00Z</dcterms:created>
  <dc:creator>Róbert Furiel</dc:creator>
</cp:coreProperties>
</file>