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bookmarkStart w:id="0" w:name="_GoBack"/>
      <w:bookmarkEnd w:id="0"/>
      <w:r w:rsidRPr="00981A65">
        <w:rPr>
          <w:rFonts w:ascii="Arial" w:hAnsi="Arial" w:cs="Arial"/>
          <w:b/>
          <w:bCs/>
          <w:color w:val="333333"/>
          <w:shd w:val="clear" w:color="auto" w:fill="FFFFFF"/>
          <w:lang w:val="cs-CZ"/>
        </w:rPr>
        <w:t>PŘÍKAZNÍ SMLOUVA</w:t>
      </w: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 xml:space="preserve">uzavřená podle § 2430 a násl. zákona č. 89/2012 Sb., </w:t>
      </w:r>
      <w:r>
        <w:rPr>
          <w:rFonts w:ascii="Arial" w:hAnsi="Arial" w:cs="Arial"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Občanského zákoníku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 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v platném znění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Níže uvedeného dne, měsíce a roku smluvní strany</w:t>
      </w:r>
    </w:p>
    <w:p w:rsidR="0020255C" w:rsidRDefault="0020255C" w:rsidP="000F4143">
      <w:pPr>
        <w:pStyle w:val="Vchoz"/>
        <w:spacing w:before="0" w:after="120"/>
        <w:rPr>
          <w:rFonts w:ascii="Arial" w:hAnsi="Arial" w:cs="Arial"/>
          <w:b/>
          <w:bCs/>
          <w:color w:val="41454D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Jakub </w:t>
      </w:r>
      <w:proofErr w:type="spellStart"/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Chaba</w:t>
      </w:r>
      <w:proofErr w:type="spellEnd"/>
    </w:p>
    <w:p w:rsidR="000F4143" w:rsidRPr="00981A65" w:rsidRDefault="000F4143" w:rsidP="000F4143">
      <w:pPr>
        <w:pStyle w:val="Vchoz"/>
        <w:spacing w:before="0" w:after="120"/>
        <w:rPr>
          <w:rFonts w:ascii="Arial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IČ: 05609305 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Praha 3 – Žižkov, Koněvova 1626/177, 130 00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zapsaný v živnostenském rejstříku a registrovaná na ŽÚ Prahy 3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Bankovní spojení: 670100-2205483535/6210,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 xml:space="preserve">(dále jen </w:t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„příkazník</w:t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rtl/>
          <w:lang w:val="cs-CZ"/>
        </w:rPr>
        <w:t>“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) </w:t>
      </w:r>
    </w:p>
    <w:p w:rsidR="000F4143" w:rsidRPr="00681E27" w:rsidRDefault="000F4143" w:rsidP="000F4143">
      <w:pPr>
        <w:pStyle w:val="Vchoz"/>
        <w:spacing w:before="0" w:after="120"/>
        <w:rPr>
          <w:rFonts w:ascii="Arial" w:eastAsia="Helvetica" w:hAnsi="Arial" w:cs="Arial"/>
          <w:b/>
          <w:bCs/>
          <w:color w:val="41454D"/>
          <w:shd w:val="clear" w:color="auto" w:fill="FFFFFF"/>
        </w:rPr>
      </w:pPr>
    </w:p>
    <w:p w:rsidR="000F4143" w:rsidRPr="00681E27" w:rsidRDefault="000F4143" w:rsidP="000F4143">
      <w:pPr>
        <w:pStyle w:val="Vchoz"/>
        <w:spacing w:before="0" w:after="120"/>
        <w:rPr>
          <w:rFonts w:ascii="Arial" w:eastAsia="Helvetica" w:hAnsi="Arial" w:cs="Arial"/>
          <w:b/>
          <w:bCs/>
          <w:color w:val="41454D"/>
          <w:shd w:val="clear" w:color="auto" w:fill="FFFFFF"/>
        </w:rPr>
      </w:pPr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>a </w:t>
      </w:r>
    </w:p>
    <w:p w:rsidR="000F4143" w:rsidRPr="00681E27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</w:rPr>
      </w:pPr>
    </w:p>
    <w:p w:rsidR="000F4143" w:rsidRPr="00681E27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</w:rPr>
      </w:pPr>
      <w:proofErr w:type="spellStart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>Dům</w:t>
      </w:r>
      <w:proofErr w:type="spellEnd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 xml:space="preserve"> </w:t>
      </w:r>
      <w:proofErr w:type="spellStart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>dětí</w:t>
      </w:r>
      <w:proofErr w:type="spellEnd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 xml:space="preserve"> a </w:t>
      </w:r>
      <w:proofErr w:type="spellStart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>mládeže</w:t>
      </w:r>
      <w:proofErr w:type="spellEnd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 xml:space="preserve"> </w:t>
      </w:r>
      <w:proofErr w:type="spellStart"/>
      <w:r w:rsidRPr="00681E27">
        <w:rPr>
          <w:rFonts w:ascii="Arial" w:hAnsi="Arial" w:cs="Arial"/>
          <w:b/>
          <w:bCs/>
          <w:color w:val="41454D"/>
          <w:shd w:val="clear" w:color="auto" w:fill="FFFFFF"/>
        </w:rPr>
        <w:t>Stodůlky</w:t>
      </w:r>
      <w:proofErr w:type="spellEnd"/>
    </w:p>
    <w:p w:rsidR="000F4143" w:rsidRPr="00981A65" w:rsidRDefault="000F4143" w:rsidP="000F4143">
      <w:pPr>
        <w:pStyle w:val="Vchoz"/>
        <w:spacing w:before="0" w:after="120"/>
        <w:rPr>
          <w:rFonts w:ascii="Arial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IČ: 00638811 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Chlupova 1800</w:t>
      </w:r>
      <w:r>
        <w:rPr>
          <w:rFonts w:ascii="Arial" w:hAnsi="Arial" w:cs="Arial"/>
          <w:color w:val="41454D"/>
          <w:shd w:val="clear" w:color="auto" w:fill="FFFFFF"/>
          <w:lang w:val="cs-CZ"/>
        </w:rPr>
        <w:t>/6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 xml:space="preserve">, 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Stodůlky, 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15</w:t>
      </w:r>
      <w:r>
        <w:rPr>
          <w:rFonts w:ascii="Arial" w:hAnsi="Arial" w:cs="Arial"/>
          <w:color w:val="41454D"/>
          <w:shd w:val="clear" w:color="auto" w:fill="FFFFFF"/>
          <w:lang w:val="cs-CZ"/>
        </w:rPr>
        <w:t>5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00 Praha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 5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zapsaný ve školském rejstříku</w:t>
      </w:r>
      <w:r>
        <w:rPr>
          <w:rFonts w:ascii="Arial" w:hAnsi="Arial" w:cs="Arial"/>
          <w:color w:val="41454D"/>
          <w:shd w:val="clear" w:color="auto" w:fill="FFFFFF"/>
          <w:lang w:val="cs-CZ"/>
        </w:rPr>
        <w:t>; IZO 661000117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Bankovní spojení</w:t>
      </w:r>
      <w:r w:rsidRPr="0020255C">
        <w:rPr>
          <w:rFonts w:ascii="Arial" w:hAnsi="Arial" w:cs="Arial"/>
          <w:color w:val="41454D"/>
          <w:shd w:val="clear" w:color="auto" w:fill="FFFFFF"/>
          <w:lang w:val="cs-CZ"/>
        </w:rPr>
        <w:t xml:space="preserve">: </w:t>
      </w:r>
      <w:r w:rsidRPr="0020255C">
        <w:rPr>
          <w:rFonts w:ascii="Arial" w:hAnsi="Arial" w:cs="Arial"/>
          <w:color w:val="4C5359"/>
          <w:shd w:val="clear" w:color="auto" w:fill="F6F6F6"/>
        </w:rPr>
        <w:t>130158359/</w:t>
      </w:r>
      <w:r w:rsidRPr="0020255C">
        <w:rPr>
          <w:rFonts w:ascii="Arial" w:hAnsi="Arial" w:cs="Arial"/>
          <w:color w:val="4C5359"/>
          <w:shd w:val="clear" w:color="auto" w:fill="F6F6F6"/>
          <w:lang w:val="cs-CZ"/>
        </w:rPr>
        <w:t>0800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 xml:space="preserve">jehož jménem jedná 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Mgr. 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Jana Šimánková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 xml:space="preserve">(dále jen </w:t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„příkazce“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) 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uzavírají na základě vzájemného konsenzu tuto </w:t>
      </w:r>
    </w:p>
    <w:p w:rsidR="000F4143" w:rsidRPr="00681E27" w:rsidRDefault="000F4143" w:rsidP="000F4143">
      <w:pPr>
        <w:pStyle w:val="Vchoz"/>
        <w:spacing w:before="0" w:after="120"/>
        <w:rPr>
          <w:rFonts w:ascii="Arial" w:eastAsia="Helvetica" w:hAnsi="Arial" w:cs="Arial"/>
          <w:color w:val="41454D"/>
          <w:shd w:val="clear" w:color="auto" w:fill="FFFFFF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příkazní smlouvu:</w:t>
      </w: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hAnsi="Arial" w:cs="Arial"/>
          <w:b/>
          <w:bCs/>
          <w:color w:val="41454D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I. 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Předmět smlouvy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bude podle této smlouvy pro příkazce na jeho účet za úplatu vykonávat a obstarávat všechny nezbytné a obvyklé činnosti v rozsahu vyplývajícím z obecně závazných předpisů a této smlouvy při realizaci: Zajištění grafických služeb pro marketingové i vnitřní potřeby DDM Stodůlky v rozsahu průměrně 25 h/měsíc.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bude vykonávat zejména</w:t>
      </w:r>
    </w:p>
    <w:p w:rsidR="000F4143" w:rsidRPr="00981A65" w:rsidRDefault="000F4143" w:rsidP="000F4143">
      <w:pPr>
        <w:pStyle w:val="Vchoz"/>
        <w:numPr>
          <w:ilvl w:val="6"/>
          <w:numId w:val="2"/>
        </w:numPr>
        <w:spacing w:before="0" w:after="120"/>
        <w:rPr>
          <w:rFonts w:ascii="Arial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Grafické zpracování veškerých marketingových tiskovin</w:t>
      </w:r>
      <w:r>
        <w:rPr>
          <w:rFonts w:ascii="Arial" w:hAnsi="Arial" w:cs="Arial"/>
          <w:color w:val="333333"/>
          <w:shd w:val="clear" w:color="auto" w:fill="FFFFFF"/>
          <w:lang w:val="cs-CZ"/>
        </w:rPr>
        <w:t>, předmětů apod.</w:t>
      </w:r>
    </w:p>
    <w:p w:rsidR="000F4143" w:rsidRPr="00981A65" w:rsidRDefault="000F4143" w:rsidP="000F4143">
      <w:pPr>
        <w:pStyle w:val="Vchoz"/>
        <w:numPr>
          <w:ilvl w:val="6"/>
          <w:numId w:val="2"/>
        </w:numPr>
        <w:spacing w:before="0" w:after="120"/>
        <w:rPr>
          <w:rFonts w:ascii="Arial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Grafické zpracování podkladů pro online komunikaci DDM Stodůlky</w:t>
      </w:r>
    </w:p>
    <w:p w:rsidR="000F4143" w:rsidRPr="00981A65" w:rsidRDefault="000F4143" w:rsidP="000F4143">
      <w:pPr>
        <w:pStyle w:val="Vchoz"/>
        <w:numPr>
          <w:ilvl w:val="6"/>
          <w:numId w:val="2"/>
        </w:numPr>
        <w:spacing w:before="0" w:after="120"/>
        <w:rPr>
          <w:rFonts w:ascii="Arial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lastRenderedPageBreak/>
        <w:t>Tvorba autorských ilustrací pro potřeby komunikace DDM Stodůlky</w:t>
      </w:r>
    </w:p>
    <w:p w:rsidR="000F4143" w:rsidRPr="00981A65" w:rsidRDefault="000F4143" w:rsidP="000F4143">
      <w:pPr>
        <w:pStyle w:val="Vchoz"/>
        <w:numPr>
          <w:ilvl w:val="6"/>
          <w:numId w:val="2"/>
        </w:numPr>
        <w:spacing w:before="0" w:after="120"/>
        <w:rPr>
          <w:rFonts w:ascii="Arial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Grafické zpracování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návrhů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vnitřních dokumentů sloužících pro komunikaci s</w:t>
      </w:r>
      <w:r>
        <w:rPr>
          <w:rFonts w:ascii="Arial" w:hAnsi="Arial" w:cs="Arial"/>
          <w:color w:val="333333"/>
          <w:shd w:val="clear" w:color="auto" w:fill="FFFFFF"/>
          <w:lang w:val="cs-CZ"/>
        </w:rPr>
        <w:t> 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klienty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a veřejností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(diplomy, přihlášky,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b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ezinfekčnosti</w:t>
      </w:r>
      <w:r>
        <w:rPr>
          <w:rFonts w:ascii="Arial" w:hAnsi="Arial" w:cs="Arial"/>
          <w:color w:val="333333"/>
          <w:shd w:val="clear" w:color="auto" w:fill="FFFFFF"/>
          <w:lang w:val="cs-CZ"/>
        </w:rPr>
        <w:t>, účetní tiskopisy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apod.)</w:t>
      </w:r>
    </w:p>
    <w:p w:rsidR="000F4143" w:rsidRPr="00981A65" w:rsidRDefault="000F4143" w:rsidP="000F4143">
      <w:pPr>
        <w:pStyle w:val="Vchoz"/>
        <w:numPr>
          <w:ilvl w:val="6"/>
          <w:numId w:val="2"/>
        </w:numPr>
        <w:spacing w:before="0" w:after="120"/>
        <w:rPr>
          <w:rFonts w:ascii="Arial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Grafické zpracování podkladů pro zajištění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různých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ak</w:t>
      </w:r>
      <w:r>
        <w:rPr>
          <w:rFonts w:ascii="Arial" w:hAnsi="Arial" w:cs="Arial"/>
          <w:color w:val="333333"/>
          <w:shd w:val="clear" w:color="auto" w:fill="FFFFFF"/>
          <w:lang w:val="cs-CZ"/>
        </w:rPr>
        <w:t>tivit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DDM Stodůlky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(startovací listy, osvědčení, přihlášky aj.) včetně případné komunikace s třetími stranami v oblasti technikálií (tiskárny)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řípadné činnosti, které bude příkazce požadovat nad rámec této smlouvy, se zavazuje příkazník provést </w:t>
      </w:r>
      <w:r w:rsidR="007272E9">
        <w:rPr>
          <w:rFonts w:ascii="Arial" w:hAnsi="Arial" w:cs="Arial"/>
          <w:color w:val="333333"/>
          <w:shd w:val="clear" w:color="auto" w:fill="FFFFFF"/>
          <w:lang w:val="cs-CZ"/>
        </w:rPr>
        <w:t xml:space="preserve">pouze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po 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t xml:space="preserve">písemném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odsouhlasení jejich rozsahu, termínů plnění a odměny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(např. zpracování podkladů – kalendář DDM, grafický manuál aj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.</w:t>
      </w:r>
      <w:r>
        <w:rPr>
          <w:rFonts w:ascii="Arial" w:hAnsi="Arial" w:cs="Arial"/>
          <w:color w:val="333333"/>
          <w:shd w:val="clear" w:color="auto" w:fill="FFFFFF"/>
          <w:lang w:val="cs-CZ"/>
        </w:rPr>
        <w:t>)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 současně s vytvořením a předáním případných autorských ilustrací uvedených výše uděluje</w:t>
      </w:r>
      <w:r>
        <w:rPr>
          <w:rFonts w:ascii="Arial" w:eastAsia="Helvetica" w:hAnsi="Arial" w:cs="Arial"/>
          <w:color w:val="333333"/>
          <w:shd w:val="clear" w:color="auto" w:fill="FFFFFF"/>
          <w:lang w:val="cs-CZ"/>
        </w:rPr>
        <w:t xml:space="preserve"> p</w:t>
      </w: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říkazci výhradní licenci k jejich užití jakýmkoli způsobem k účelu vyplývajícímu z této smlouvy. Příkazce je oprávněn poskytnout zcela či zčásti třetím osobám oprávnění tvořící součást licence. Příkazník podpisem této smlouvy dává souhlas s postoupením licence.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hAnsi="Arial" w:cs="Arial"/>
          <w:shd w:val="clear" w:color="auto" w:fill="FFFFFF"/>
          <w:lang w:val="cs-CZ"/>
        </w:rPr>
        <w:t xml:space="preserve">Příkazník prohlašuje, že má k dílu plné a neomezené autorské právo a že je oprávněn s tímto dílem disponovat a poskytovat k němu licenci ve výše uvedeném rozsahu. Příkazník odpovídá za veškerou škodu, která </w:t>
      </w:r>
      <w:r>
        <w:rPr>
          <w:rFonts w:ascii="Arial" w:hAnsi="Arial" w:cs="Arial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shd w:val="clear" w:color="auto" w:fill="FFFFFF"/>
          <w:lang w:val="cs-CZ"/>
        </w:rPr>
        <w:t xml:space="preserve">říkazci vznikne v důsledku toho, ukáže-li se toto prohlášení nesprávné či neúplné a zavazuje se, že vyrovná případné nároky jiných autorů a uhradí veškerou škodu, která by v důsledku nepravdivosti tohoto prohlášení autora </w:t>
      </w:r>
      <w:r>
        <w:rPr>
          <w:rFonts w:ascii="Arial" w:hAnsi="Arial" w:cs="Arial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shd w:val="clear" w:color="auto" w:fill="FFFFFF"/>
          <w:lang w:val="cs-CZ"/>
        </w:rPr>
        <w:t>říkazci vznikla.</w:t>
      </w:r>
    </w:p>
    <w:p w:rsidR="000F4143" w:rsidRPr="00981A65" w:rsidRDefault="000F4143" w:rsidP="000F4143">
      <w:pPr>
        <w:pStyle w:val="Vchoz"/>
        <w:spacing w:before="0" w:after="120"/>
        <w:ind w:left="7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II.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Doba plnění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Z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áležitosti uvedené v této smlouvě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z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ařídí příkazník v období 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1. 1. 202</w:t>
      </w:r>
      <w:r>
        <w:rPr>
          <w:rFonts w:ascii="Arial" w:hAnsi="Arial" w:cs="Arial"/>
          <w:color w:val="333333"/>
          <w:shd w:val="clear" w:color="auto" w:fill="FFFFFF"/>
          <w:lang w:val="cs-CZ"/>
        </w:rPr>
        <w:t>3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– 31. 12. 202</w:t>
      </w:r>
      <w:r>
        <w:rPr>
          <w:rFonts w:ascii="Arial" w:hAnsi="Arial" w:cs="Arial"/>
          <w:color w:val="333333"/>
          <w:shd w:val="clear" w:color="auto" w:fill="FFFFFF"/>
          <w:lang w:val="cs-CZ"/>
        </w:rPr>
        <w:t>3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.</w:t>
      </w:r>
    </w:p>
    <w:p w:rsidR="000F4143" w:rsidRPr="00981A65" w:rsidRDefault="000F4143" w:rsidP="000F4143">
      <w:pPr>
        <w:pStyle w:val="Vchoz"/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III.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Odměna Příkazníka a platební podmínky</w:t>
      </w:r>
    </w:p>
    <w:p w:rsidR="000F4143" w:rsidRPr="00E067B4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Příkazce se zavazuje za pr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áce a činnosti uvedené v této smlouvě zaplatit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říkazníkovi odměnu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ve výši 10 000 Kč za jeden měsíc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, která bude hrazena na základě faktur vystavených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říkazníkem vždy za uplynulý měsíc.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 Současně příkazník předá výkaz prací a grafických děl, které jsou předmětem práce v daném měsíci. 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Práci příkazník předává v souladu měsíčním časovým harmonogramem 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br/>
      </w:r>
      <w:r>
        <w:rPr>
          <w:rFonts w:ascii="Arial" w:hAnsi="Arial" w:cs="Arial"/>
          <w:color w:val="333333"/>
          <w:shd w:val="clear" w:color="auto" w:fill="FFFFFF"/>
          <w:lang w:val="cs-CZ"/>
        </w:rPr>
        <w:t>a zadáním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cs-CZ"/>
        </w:rPr>
        <w:t xml:space="preserve">PaedDr. Z.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cs-CZ"/>
        </w:rPr>
        <w:t>Hiřmanové</w:t>
      </w:r>
      <w:proofErr w:type="spellEnd"/>
      <w:r>
        <w:rPr>
          <w:rFonts w:ascii="Arial" w:hAnsi="Arial" w:cs="Arial"/>
          <w:color w:val="333333"/>
          <w:shd w:val="clear" w:color="auto" w:fill="FFFFFF"/>
          <w:lang w:val="cs-CZ"/>
        </w:rPr>
        <w:t>, zástupkyni ředitelky pro oblast pedagogiky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br/>
      </w:r>
      <w:r>
        <w:rPr>
          <w:rFonts w:ascii="Arial" w:hAnsi="Arial" w:cs="Arial"/>
          <w:color w:val="333333"/>
          <w:shd w:val="clear" w:color="auto" w:fill="FFFFFF"/>
          <w:lang w:val="cs-CZ"/>
        </w:rPr>
        <w:t>a PR.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Dnem uskute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čnění zdanitelného plnění bude poslední den fakturovaného měsíce, tj. poslední den v kalendářním měsíci, za něž se fakturuje.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lastRenderedPageBreak/>
        <w:t>Ka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ždá faktura bude vystavena elektronicky. Faktury jsou splatné do 1</w:t>
      </w:r>
      <w:r>
        <w:rPr>
          <w:rFonts w:ascii="Arial" w:hAnsi="Arial" w:cs="Arial"/>
          <w:color w:val="333333"/>
          <w:shd w:val="clear" w:color="auto" w:fill="FFFFFF"/>
          <w:lang w:val="cs-CZ"/>
        </w:rPr>
        <w:t>4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dnů 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po jejich doručení na email </w:t>
      </w:r>
      <w:proofErr w:type="spellStart"/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k.haasova</w:t>
      </w:r>
      <w:proofErr w:type="spellEnd"/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@ddmstodulky.cz.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V 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řípadě, že faktura nebude vystavena oprávněně nebo nebude obsahova</w:t>
      </w:r>
      <w:r>
        <w:rPr>
          <w:rFonts w:ascii="Arial" w:hAnsi="Arial" w:cs="Arial"/>
          <w:color w:val="333333"/>
          <w:shd w:val="clear" w:color="auto" w:fill="FFFFFF"/>
          <w:lang w:val="cs-CZ"/>
        </w:rPr>
        <w:t>t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náležitosti uvedené v této smlouvě, je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oprávněn vrátit ji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říkazníkovi </w:t>
      </w:r>
      <w:r>
        <w:rPr>
          <w:rFonts w:ascii="Arial" w:hAnsi="Arial" w:cs="Arial"/>
          <w:color w:val="333333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k doplnění.  V takovém případě se přeruší plynutí lhůty splatnosti a nová lhůta splatnosti počne plynout doručením opravené či oprávněně vystavené faktury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říkazci. </w:t>
      </w:r>
    </w:p>
    <w:p w:rsidR="000F4143" w:rsidRPr="00981A65" w:rsidRDefault="000F4143" w:rsidP="000F4143">
      <w:pPr>
        <w:pStyle w:val="Vchoz"/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IV. 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Povinnosti Příkazníka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je povinen plnit své povinnosti pro příkazce osobně. Poruší-li tuto povinnost, odpovídá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říkazci za škodu tím způsobenou.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je povinen při výkonu své činnosti dbát pokynů příkazce, případně je upozornit na zřejmou nevhodnost jeho pokynů, které by mohly mít za následek vznik škody.  Je rovněž povinen upozornit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říkazce, že zjistil okolnosti, které mohou mít vliv na změnu pokynů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říkazce. V případě, že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i přes upozornění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říkazníka na splnění pokynů trvá, neodpovídá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říkazník za škodu takto vzniklou.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vyzve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říkazce k účasti na všech důležitých jednáních se smluvními partnery a vyžádá si jeho stanovisko ke všem důležitým rozhodnutím.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je povinen provádět právní úkony a činnosti v rámci plnění předmětu smlouvy včas, řádně a informovat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o stavu obstarávaných záležitostí a vyžadovat jeho pokyny v případech, kdy nejde o věci běžné a obvyklé. V těchto případech je však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 oprávněn požadovat, aby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říkazce konal sám.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Příkazník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 odpovídá za škodu na věcech převzatých od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k vyřizování záležitostí dle příkazní smlouvy i za škody na věcech převzatých pro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říkazce při zařizování takových záležitostí.</w:t>
      </w:r>
    </w:p>
    <w:p w:rsidR="000F4143" w:rsidRPr="00981A65" w:rsidRDefault="000F4143" w:rsidP="000F4143">
      <w:pPr>
        <w:pStyle w:val="Vchoz"/>
        <w:spacing w:before="0" w:after="120"/>
        <w:ind w:left="7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V. 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Povinnosti Příkazce 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Příkazce se zavazuje 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ředat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říkazníkovi na vyžádání veškeré podklady a </w:t>
      </w:r>
      <w:r w:rsidRPr="00D016CF">
        <w:rPr>
          <w:rFonts w:ascii="Arial" w:hAnsi="Arial" w:cs="Arial"/>
          <w:color w:val="333333"/>
          <w:shd w:val="clear" w:color="auto" w:fill="FFFFFF"/>
          <w:lang w:val="cs-CZ"/>
        </w:rPr>
        <w:t xml:space="preserve">dokumenty pro tvorbu grafických výstupů vždy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nejpozději 5 pracovních dní po vyžádání. 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Příkazce se zavazuje projednat dle pot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řeby s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říkazníkem stav a další postup při plnění smlouvy včetně ostatních záležitostí souvisejících s předmětem smlouvy.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Na v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ýzvu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říkazníka (dopisem, elektronickou poštou) je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povinen předat stanovisko k řešené záležitosti a dát písemné pokyny k dalšímu postupu ve lhůtě, kterou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 s ohledem na povahu záležitosti stanoví, nejpozději však do 3 pracovních dnů od doručení výzvy. Bez písemného stanoviska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nesmí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říkazník konat.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Příkazce je povinen uhradit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 příkazníkovi náklady, které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 </w:t>
      </w:r>
      <w:r w:rsidR="0020255C">
        <w:rPr>
          <w:rFonts w:ascii="Arial" w:hAnsi="Arial" w:cs="Arial"/>
          <w:color w:val="333333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po předchozím souhlasu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říkazce nutně či účelně vynaloží při plnění předmětu smlouvy.</w:t>
      </w:r>
    </w:p>
    <w:p w:rsidR="000F4143" w:rsidRPr="00981A65" w:rsidRDefault="000F4143" w:rsidP="000F4143">
      <w:pPr>
        <w:pStyle w:val="Vchoz"/>
        <w:spacing w:before="0" w:after="120"/>
        <w:ind w:left="2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VI. 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Smluvní pokuty, náhrada škody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Pro 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řípad prodlení příkazce s úhradou peněžitého plnění sjednávají smluvní strany smluvní pokutu ve výši 0,05 % z dlužné částky, a to za každý den prodlení až do zaplacení.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V 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řípadě, že v důsledku vadného plnění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říkazníka anebo prodlení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říkazníka s plněním závazků došlo ke vzniku škody či jiné újmě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říkazci (pokud nebylo vadné plnění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říkazníka zapříčiněno nečinností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říkazce nebo porušením jeho povinností), sjednávají smluvní strany smluvní pokutu ve výši 500,- Kč za každé porušení závazku, to nemá vliv na povinnost náhrady škody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říkazníkem </w:t>
      </w:r>
      <w:r>
        <w:rPr>
          <w:rFonts w:ascii="Arial" w:hAnsi="Arial" w:cs="Arial"/>
          <w:color w:val="333333"/>
          <w:shd w:val="clear" w:color="auto" w:fill="FFFFFF"/>
          <w:lang w:val="cs-CZ"/>
        </w:rPr>
        <w:t>p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říkazci.</w:t>
      </w:r>
    </w:p>
    <w:p w:rsidR="000F4143" w:rsidRPr="00981A65" w:rsidRDefault="000F4143" w:rsidP="000F4143">
      <w:pPr>
        <w:pStyle w:val="Vchoz"/>
        <w:spacing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 xml:space="preserve">VII. 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Ukončení smlouvy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Tato smlouva m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ůže být ukončena:</w:t>
      </w:r>
    </w:p>
    <w:p w:rsidR="000F4143" w:rsidRPr="00981A65" w:rsidRDefault="000F4143" w:rsidP="000F4143">
      <w:pPr>
        <w:pStyle w:val="Vchoz"/>
        <w:numPr>
          <w:ilvl w:val="1"/>
          <w:numId w:val="3"/>
        </w:numPr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spln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ěním předmětu smlouvy; </w:t>
      </w:r>
    </w:p>
    <w:p w:rsidR="000F4143" w:rsidRPr="00981A65" w:rsidRDefault="000F4143" w:rsidP="000F4143">
      <w:pPr>
        <w:pStyle w:val="Vchoz"/>
        <w:numPr>
          <w:ilvl w:val="1"/>
          <w:numId w:val="3"/>
        </w:numPr>
        <w:spacing w:before="0" w:after="12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dohodou smluvn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ích stran; </w:t>
      </w:r>
    </w:p>
    <w:p w:rsidR="000F4143" w:rsidRPr="00981A65" w:rsidRDefault="000F4143" w:rsidP="000F4143">
      <w:pPr>
        <w:pStyle w:val="Vchoz"/>
        <w:numPr>
          <w:ilvl w:val="1"/>
          <w:numId w:val="3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v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ýpovědí smlouvy některou ze smluvních stran, přičemž výpovědní lhůta počíná běžet od měsíce následujícího, v němž byla výpověď doručena druhé straně a činí 1 měsíc; </w:t>
      </w:r>
    </w:p>
    <w:p w:rsidR="000F4143" w:rsidRPr="00981A65" w:rsidRDefault="000F4143" w:rsidP="000F4143">
      <w:pPr>
        <w:pStyle w:val="Vchoz"/>
        <w:numPr>
          <w:ilvl w:val="1"/>
          <w:numId w:val="3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okam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 xml:space="preserve">žitým odstoupením od smlouvy v případě, že by došlo k závažnému </w:t>
      </w:r>
      <w:r>
        <w:rPr>
          <w:rFonts w:ascii="Arial" w:hAnsi="Arial" w:cs="Arial"/>
          <w:color w:val="333333"/>
          <w:shd w:val="clear" w:color="auto" w:fill="FFFFFF"/>
          <w:lang w:val="cs-CZ"/>
        </w:rPr>
        <w:br/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a hrubému porušení povinností plynoucích z této smlouvy, přičemž okamžité odstoupení od smlouvy je účinné doručením druhé smluvní straně. </w:t>
      </w:r>
    </w:p>
    <w:p w:rsidR="000F4143" w:rsidRPr="00981A65" w:rsidRDefault="000F4143" w:rsidP="000F4143">
      <w:pPr>
        <w:pStyle w:val="Vchoz"/>
        <w:spacing w:before="0" w:after="120"/>
        <w:ind w:left="940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 w:after="120"/>
        <w:jc w:val="center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VIII</w:t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.</w:t>
      </w:r>
      <w:r w:rsidRPr="00981A65">
        <w:rPr>
          <w:rFonts w:ascii="Arial" w:eastAsia="Helvetica" w:hAnsi="Arial" w:cs="Arial"/>
          <w:b/>
          <w:bCs/>
          <w:color w:val="41454D"/>
          <w:shd w:val="clear" w:color="auto" w:fill="FFFFFF"/>
          <w:lang w:val="cs-CZ"/>
        </w:rPr>
        <w:br/>
      </w:r>
      <w:r w:rsidRPr="00981A65">
        <w:rPr>
          <w:rFonts w:ascii="Arial" w:hAnsi="Arial" w:cs="Arial"/>
          <w:b/>
          <w:bCs/>
          <w:color w:val="41454D"/>
          <w:shd w:val="clear" w:color="auto" w:fill="FFFFFF"/>
          <w:lang w:val="cs-CZ"/>
        </w:rPr>
        <w:t>Ustanovení závěrečná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Vztahy mezi stranami t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éto smlouvy se řídí platným právním řádem České republiky. 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 xml:space="preserve">Tato smlouva se vyhotovuje ve dvou (2) stejnopisech v 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českém jazyce. Každá ze stran obdrží po jednom. 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Jak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ékoli změny nebo doplňky této smlouvy je možno provádět jen písemně, se souhlasem obou smluvních stran.</w:t>
      </w:r>
    </w:p>
    <w:p w:rsidR="000F4143" w:rsidRPr="00981A65" w:rsidRDefault="000F4143" w:rsidP="000F4143">
      <w:pPr>
        <w:pStyle w:val="Vchoz"/>
        <w:numPr>
          <w:ilvl w:val="0"/>
          <w:numId w:val="2"/>
        </w:numPr>
        <w:spacing w:before="0" w:after="120"/>
        <w:jc w:val="both"/>
        <w:rPr>
          <w:rFonts w:ascii="Arial" w:eastAsia="Helvetica" w:hAnsi="Arial" w:cs="Arial"/>
          <w:color w:val="333333"/>
          <w:shd w:val="clear" w:color="auto" w:fill="FFFFFF"/>
          <w:lang w:val="cs-CZ"/>
        </w:rPr>
      </w:pPr>
      <w:r w:rsidRPr="00981A65">
        <w:rPr>
          <w:rFonts w:ascii="Arial" w:eastAsia="Helvetica" w:hAnsi="Arial" w:cs="Arial"/>
          <w:color w:val="333333"/>
          <w:shd w:val="clear" w:color="auto" w:fill="FFFFFF"/>
          <w:lang w:val="cs-CZ"/>
        </w:rPr>
        <w:t>Smluvn</w:t>
      </w:r>
      <w:r w:rsidRPr="00981A65">
        <w:rPr>
          <w:rFonts w:ascii="Arial" w:hAnsi="Arial" w:cs="Arial"/>
          <w:color w:val="333333"/>
          <w:shd w:val="clear" w:color="auto" w:fill="FFFFFF"/>
          <w:lang w:val="cs-CZ"/>
        </w:rPr>
        <w:t>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 </w:t>
      </w:r>
    </w:p>
    <w:p w:rsidR="000F4143" w:rsidRPr="00981A65" w:rsidRDefault="000F4143" w:rsidP="000F4143">
      <w:pPr>
        <w:pStyle w:val="Vchoz"/>
        <w:spacing w:before="0"/>
        <w:rPr>
          <w:rFonts w:ascii="Arial" w:hAnsi="Arial" w:cs="Arial"/>
          <w:color w:val="41454D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V Praze dne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 2. ledna 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202</w:t>
      </w:r>
      <w:r>
        <w:rPr>
          <w:rFonts w:ascii="Arial" w:hAnsi="Arial" w:cs="Arial"/>
          <w:color w:val="41454D"/>
          <w:shd w:val="clear" w:color="auto" w:fill="FFFFFF"/>
          <w:lang w:val="cs-CZ"/>
        </w:rPr>
        <w:t>3</w:t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V Praze dne</w:t>
      </w:r>
      <w:r>
        <w:rPr>
          <w:rFonts w:ascii="Arial" w:hAnsi="Arial" w:cs="Arial"/>
          <w:color w:val="41454D"/>
          <w:shd w:val="clear" w:color="auto" w:fill="FFFFFF"/>
          <w:lang w:val="cs-CZ"/>
        </w:rPr>
        <w:t xml:space="preserve"> 1.března </w:t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202</w:t>
      </w:r>
      <w:r>
        <w:rPr>
          <w:rFonts w:ascii="Arial" w:hAnsi="Arial" w:cs="Arial"/>
          <w:color w:val="41454D"/>
          <w:shd w:val="clear" w:color="auto" w:fill="FFFFFF"/>
          <w:lang w:val="cs-CZ"/>
        </w:rPr>
        <w:t>3</w:t>
      </w:r>
    </w:p>
    <w:p w:rsidR="000F4143" w:rsidRPr="00981A65" w:rsidRDefault="000F4143" w:rsidP="000F4143">
      <w:pPr>
        <w:pStyle w:val="Vchoz"/>
        <w:spacing w:before="0"/>
        <w:rPr>
          <w:rFonts w:ascii="Arial" w:eastAsia="Helvetica" w:hAnsi="Arial" w:cs="Arial"/>
          <w:color w:val="41454D"/>
          <w:shd w:val="clear" w:color="auto" w:fill="FFFFFF"/>
          <w:lang w:val="cs-CZ"/>
        </w:rPr>
      </w:pPr>
    </w:p>
    <w:p w:rsidR="000F4143" w:rsidRPr="00981A65" w:rsidRDefault="000F4143" w:rsidP="000F4143">
      <w:pPr>
        <w:pStyle w:val="Vchoz"/>
        <w:spacing w:before="0"/>
        <w:rPr>
          <w:rFonts w:ascii="Arial" w:hAnsi="Arial" w:cs="Arial"/>
          <w:color w:val="41454D"/>
          <w:shd w:val="clear" w:color="auto" w:fill="FFFFFF"/>
          <w:lang w:val="cs-CZ"/>
        </w:rPr>
      </w:pPr>
    </w:p>
    <w:p w:rsidR="00A26168" w:rsidRDefault="000F4143" w:rsidP="0020255C">
      <w:pPr>
        <w:pStyle w:val="Vchoz"/>
        <w:spacing w:before="0"/>
      </w:pP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Příkazce</w:t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>
        <w:rPr>
          <w:rFonts w:ascii="Arial" w:hAnsi="Arial" w:cs="Arial"/>
          <w:color w:val="41454D"/>
          <w:shd w:val="clear" w:color="auto" w:fill="FFFFFF"/>
          <w:lang w:val="cs-CZ"/>
        </w:rPr>
        <w:tab/>
      </w:r>
      <w:r w:rsidRPr="00981A65">
        <w:rPr>
          <w:rFonts w:ascii="Arial" w:hAnsi="Arial" w:cs="Arial"/>
          <w:color w:val="41454D"/>
          <w:shd w:val="clear" w:color="auto" w:fill="FFFFFF"/>
          <w:lang w:val="cs-CZ"/>
        </w:rPr>
        <w:t>Příkazník</w:t>
      </w:r>
    </w:p>
    <w:sectPr w:rsidR="00A2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40D"/>
    <w:multiLevelType w:val="hybridMultilevel"/>
    <w:tmpl w:val="9F388FF8"/>
    <w:numStyleLink w:val="Odrka"/>
  </w:abstractNum>
  <w:abstractNum w:abstractNumId="1" w15:restartNumberingAfterBreak="0">
    <w:nsid w:val="42740DCE"/>
    <w:multiLevelType w:val="hybridMultilevel"/>
    <w:tmpl w:val="9F388FF8"/>
    <w:styleLink w:val="Odrka"/>
    <w:lvl w:ilvl="0" w:tplc="C4F0A7AA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BBD0B3B2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5F6298AC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8EAA9A42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6B12E82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BD2E0CDA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870A03C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C4185270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057A736A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460DD60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46510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BC4DCE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AA2AB6C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4FE7250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988B6A0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001804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8D2ECEA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A8A87F8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3"/>
    <w:rsid w:val="000E2AA9"/>
    <w:rsid w:val="000F4143"/>
    <w:rsid w:val="0020255C"/>
    <w:rsid w:val="007272E9"/>
    <w:rsid w:val="00A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065D-901D-4863-9E6B-659C156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F414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sz w:val="24"/>
      <w:szCs w:val="24"/>
      <w:bdr w:val="nil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rsid w:val="000F41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jana.simankova</dc:creator>
  <cp:keywords/>
  <dc:description/>
  <cp:lastModifiedBy>Ježková Věra</cp:lastModifiedBy>
  <cp:revision>2</cp:revision>
  <dcterms:created xsi:type="dcterms:W3CDTF">2023-04-20T10:52:00Z</dcterms:created>
  <dcterms:modified xsi:type="dcterms:W3CDTF">2023-04-20T10:52:00Z</dcterms:modified>
</cp:coreProperties>
</file>