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516E82">
        <w:rPr>
          <w:rFonts w:cs="Arial"/>
          <w:b/>
          <w:sz w:val="24"/>
          <w:szCs w:val="24"/>
        </w:rPr>
        <w:t>11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3</w:t>
      </w:r>
      <w:r w:rsidR="006355B6">
        <w:rPr>
          <w:rFonts w:cs="Arial"/>
          <w:b/>
          <w:sz w:val="24"/>
          <w:szCs w:val="24"/>
        </w:rPr>
        <w:t>/</w:t>
      </w:r>
      <w:r w:rsidR="00516E82">
        <w:rPr>
          <w:rFonts w:cs="Arial"/>
          <w:b/>
          <w:sz w:val="24"/>
          <w:szCs w:val="24"/>
        </w:rPr>
        <w:t>1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784BED" w:rsidRPr="00507E29">
              <w:rPr>
                <w:rFonts w:cs="Arial"/>
                <w:sz w:val="24"/>
                <w:szCs w:val="24"/>
              </w:rPr>
              <w:t>reg.MS</w:t>
            </w:r>
            <w:proofErr w:type="gramEnd"/>
            <w:r w:rsidR="00784BED" w:rsidRPr="00507E29">
              <w:rPr>
                <w:rFonts w:cs="Arial"/>
                <w:sz w:val="24"/>
                <w:szCs w:val="24"/>
              </w:rPr>
              <w:t xml:space="preserve">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D025AE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xxxxxxxxxxxxxxxxxxx</w:t>
            </w:r>
            <w:proofErr w:type="spellEnd"/>
            <w:r w:rsidR="00E53096">
              <w:rPr>
                <w:rFonts w:cs="Arial"/>
                <w:sz w:val="24"/>
                <w:szCs w:val="24"/>
              </w:rPr>
              <w:t xml:space="preserve"> -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 w:rsidR="00F45A8D">
              <w:rPr>
                <w:rFonts w:cs="Arial"/>
                <w:sz w:val="24"/>
                <w:szCs w:val="24"/>
              </w:rPr>
              <w:t>ka firmy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471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B45C6">
              <w:rPr>
                <w:rFonts w:cs="Arial"/>
                <w:sz w:val="24"/>
                <w:szCs w:val="24"/>
                <w:lang w:val="en-US"/>
              </w:rPr>
              <w:t>Ředitelka MŠ:</w:t>
            </w:r>
            <w:r w:rsidR="00D025A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25AE">
              <w:rPr>
                <w:rFonts w:cs="Arial"/>
                <w:sz w:val="24"/>
                <w:szCs w:val="24"/>
                <w:lang w:val="en-US"/>
              </w:rPr>
              <w:t>xxxxxxxxxxxxxxxxxxxxxxxxx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777 479 355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  <w:bookmarkStart w:id="0" w:name="_GoBack"/>
            <w:bookmarkEnd w:id="0"/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</w:t>
      </w:r>
      <w:proofErr w:type="gramStart"/>
      <w:r w:rsidR="00BB3F24" w:rsidRPr="00DC7AF6">
        <w:rPr>
          <w:sz w:val="24"/>
          <w:szCs w:val="24"/>
        </w:rPr>
        <w:t>prací</w:t>
      </w:r>
      <w:r w:rsidR="003D45F5" w:rsidRPr="00DC7AF6">
        <w:rPr>
          <w:sz w:val="24"/>
          <w:szCs w:val="24"/>
        </w:rPr>
        <w:t>(dále</w:t>
      </w:r>
      <w:proofErr w:type="gramEnd"/>
      <w:r w:rsidR="003D45F5" w:rsidRPr="00DC7AF6">
        <w:rPr>
          <w:sz w:val="24"/>
          <w:szCs w:val="24"/>
        </w:rPr>
        <w:t xml:space="preserve">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3403F7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3403F7">
        <w:rPr>
          <w:b/>
          <w:sz w:val="24"/>
          <w:szCs w:val="24"/>
        </w:rPr>
        <w:t>„OPRAVA</w:t>
      </w:r>
      <w:r w:rsidR="009E6B68">
        <w:rPr>
          <w:b/>
          <w:sz w:val="24"/>
          <w:szCs w:val="24"/>
        </w:rPr>
        <w:t xml:space="preserve"> A</w:t>
      </w:r>
      <w:r w:rsidR="003403F7">
        <w:rPr>
          <w:b/>
          <w:sz w:val="24"/>
          <w:szCs w:val="24"/>
        </w:rPr>
        <w:t xml:space="preserve"> </w:t>
      </w:r>
      <w:r w:rsidR="009E6B68">
        <w:rPr>
          <w:b/>
          <w:sz w:val="24"/>
          <w:szCs w:val="24"/>
        </w:rPr>
        <w:t xml:space="preserve">VÝMĚNA </w:t>
      </w:r>
      <w:r w:rsidR="003403F7">
        <w:rPr>
          <w:b/>
          <w:sz w:val="24"/>
          <w:szCs w:val="24"/>
        </w:rPr>
        <w:t>KRYTŮ</w:t>
      </w:r>
      <w:r w:rsidR="00672481">
        <w:rPr>
          <w:b/>
          <w:sz w:val="24"/>
          <w:szCs w:val="24"/>
        </w:rPr>
        <w:t xml:space="preserve"> TOPNÝCH TĚLES –</w:t>
      </w:r>
      <w:r w:rsidR="003403F7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516E82">
        <w:rPr>
          <w:b/>
          <w:sz w:val="24"/>
          <w:szCs w:val="24"/>
        </w:rPr>
        <w:t>PTÁČCI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516E82">
        <w:rPr>
          <w:b/>
          <w:sz w:val="24"/>
          <w:szCs w:val="24"/>
        </w:rPr>
        <w:t>1103A</w:t>
      </w:r>
      <w:r w:rsidR="002E2C08" w:rsidRPr="002E2C08">
        <w:rPr>
          <w:b/>
          <w:sz w:val="24"/>
          <w:szCs w:val="24"/>
        </w:rPr>
        <w:t>/</w:t>
      </w:r>
      <w:r w:rsidR="003403F7">
        <w:rPr>
          <w:b/>
          <w:sz w:val="24"/>
          <w:szCs w:val="24"/>
        </w:rPr>
        <w:t>2</w:t>
      </w:r>
      <w:r w:rsidR="00516E82">
        <w:rPr>
          <w:b/>
          <w:sz w:val="24"/>
          <w:szCs w:val="24"/>
        </w:rPr>
        <w:t>3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CE6C09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č. 1</w:t>
      </w:r>
      <w:r w:rsidR="003403F7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</w:t>
      </w:r>
      <w:proofErr w:type="gramStart"/>
      <w:r w:rsidR="00DC7AF6" w:rsidRPr="00DC7AF6">
        <w:rPr>
          <w:sz w:val="24"/>
          <w:szCs w:val="24"/>
        </w:rPr>
        <w:t xml:space="preserve">Zhotovitele </w:t>
      </w:r>
      <w:r w:rsidR="00F45A8D">
        <w:rPr>
          <w:sz w:val="24"/>
          <w:szCs w:val="24"/>
        </w:rPr>
        <w:t>.</w:t>
      </w:r>
      <w:proofErr w:type="gramEnd"/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 xml:space="preserve">Dílo je dokončeno, je-li předvedena jeho způsobilost sloužit svému </w:t>
      </w:r>
      <w:proofErr w:type="gramStart"/>
      <w:r w:rsidRPr="007B4AB6">
        <w:rPr>
          <w:bCs/>
          <w:sz w:val="24"/>
          <w:szCs w:val="24"/>
        </w:rPr>
        <w:t>účelu.</w:t>
      </w:r>
      <w:r w:rsidR="0081647B" w:rsidRPr="00507E29">
        <w:rPr>
          <w:sz w:val="24"/>
          <w:szCs w:val="24"/>
        </w:rPr>
        <w:t>Zápis</w:t>
      </w:r>
      <w:proofErr w:type="gramEnd"/>
      <w:r w:rsidR="0081647B" w:rsidRPr="00507E29">
        <w:rPr>
          <w:sz w:val="24"/>
          <w:szCs w:val="24"/>
        </w:rPr>
        <w:t xml:space="preserve">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516E82">
        <w:rPr>
          <w:rFonts w:cs="Arial"/>
          <w:b/>
          <w:sz w:val="24"/>
          <w:szCs w:val="24"/>
        </w:rPr>
        <w:t>06.08.2023</w:t>
      </w:r>
      <w:proofErr w:type="gramEnd"/>
      <w:r w:rsidR="000C099D">
        <w:rPr>
          <w:rFonts w:cs="Arial"/>
          <w:sz w:val="24"/>
          <w:szCs w:val="24"/>
        </w:rPr>
        <w:t>,</w:t>
      </w:r>
      <w:r w:rsidR="005A5F8F">
        <w:rPr>
          <w:rFonts w:cs="Arial"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5A5F8F">
        <w:rPr>
          <w:rFonts w:cs="Arial"/>
          <w:sz w:val="24"/>
          <w:szCs w:val="24"/>
        </w:rPr>
        <w:t xml:space="preserve"> </w:t>
      </w:r>
      <w:r w:rsidR="00516E82" w:rsidRPr="00516E82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6</w:t>
      </w:r>
      <w:r w:rsidR="002E2C08">
        <w:rPr>
          <w:rFonts w:cs="Arial"/>
          <w:b/>
          <w:sz w:val="24"/>
          <w:szCs w:val="24"/>
        </w:rPr>
        <w:t>.</w:t>
      </w:r>
      <w:r w:rsidR="00516E82">
        <w:rPr>
          <w:rFonts w:cs="Arial"/>
          <w:b/>
          <w:sz w:val="24"/>
          <w:szCs w:val="24"/>
        </w:rPr>
        <w:t>7</w:t>
      </w:r>
      <w:r w:rsidR="002E2C08">
        <w:rPr>
          <w:rFonts w:cs="Arial"/>
          <w:b/>
          <w:sz w:val="24"/>
          <w:szCs w:val="24"/>
        </w:rPr>
        <w:t>.202</w:t>
      </w:r>
      <w:r w:rsidR="00516E82">
        <w:rPr>
          <w:rFonts w:cs="Arial"/>
          <w:b/>
          <w:sz w:val="24"/>
          <w:szCs w:val="24"/>
        </w:rPr>
        <w:t>3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516E82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164 770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3403F7" w:rsidP="00516E82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516E82">
              <w:rPr>
                <w:rFonts w:cs="Arial"/>
                <w:sz w:val="24"/>
                <w:szCs w:val="24"/>
              </w:rPr>
              <w:t>34 601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516E82">
              <w:rPr>
                <w:rFonts w:cs="Arial"/>
                <w:sz w:val="24"/>
                <w:szCs w:val="24"/>
              </w:rPr>
              <w:t>70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516E82" w:rsidP="00516E82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199 371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70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proofErr w:type="gramStart"/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bjednateli.Náklady</w:t>
      </w:r>
      <w:proofErr w:type="gramEnd"/>
      <w:r w:rsidR="007A25F7" w:rsidRPr="00507E29">
        <w:rPr>
          <w:rFonts w:cs="Arial"/>
          <w:sz w:val="24"/>
          <w:szCs w:val="24"/>
        </w:rPr>
        <w:t xml:space="preserve">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r w:rsidRPr="00507E29">
        <w:rPr>
          <w:rFonts w:cs="Arial"/>
          <w:sz w:val="24"/>
          <w:szCs w:val="24"/>
        </w:rPr>
        <w:t>na</w:t>
      </w:r>
      <w:proofErr w:type="gramEnd"/>
      <w:r w:rsidRPr="00507E29">
        <w:rPr>
          <w:rFonts w:cs="Arial"/>
          <w:sz w:val="24"/>
          <w:szCs w:val="24"/>
        </w:rPr>
        <w:t xml:space="preserve">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>rozsahu :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proofErr w:type="gramStart"/>
      <w:r w:rsidR="00516E82">
        <w:rPr>
          <w:rFonts w:cs="Arial"/>
          <w:sz w:val="24"/>
          <w:szCs w:val="24"/>
        </w:rPr>
        <w:t>12.04.2023</w:t>
      </w:r>
      <w:proofErr w:type="gramEnd"/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841856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41" w:rsidRDefault="00926441" w:rsidP="006E3FBF">
      <w:pPr>
        <w:spacing w:after="0" w:line="240" w:lineRule="auto"/>
      </w:pPr>
      <w:r>
        <w:separator/>
      </w:r>
    </w:p>
  </w:endnote>
  <w:endnote w:type="continuationSeparator" w:id="0">
    <w:p w:rsidR="00926441" w:rsidRDefault="00926441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841856" w:rsidRDefault="00841856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</w:t>
            </w:r>
            <w:proofErr w:type="gramStart"/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U pískovny</w:t>
            </w:r>
            <w:proofErr w:type="gramEnd"/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841856" w:rsidRDefault="00926441" w:rsidP="00BB3F24">
        <w:pPr>
          <w:pStyle w:val="Zpat"/>
          <w:jc w:val="center"/>
        </w:pPr>
      </w:p>
    </w:sdtContent>
  </w:sdt>
  <w:p w:rsidR="00841856" w:rsidRPr="003D4DF7" w:rsidRDefault="00841856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41" w:rsidRDefault="00926441" w:rsidP="006E3FBF">
      <w:pPr>
        <w:spacing w:after="0" w:line="240" w:lineRule="auto"/>
      </w:pPr>
      <w:r>
        <w:separator/>
      </w:r>
    </w:p>
  </w:footnote>
  <w:footnote w:type="continuationSeparator" w:id="0">
    <w:p w:rsidR="00926441" w:rsidRDefault="00926441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56" w:rsidRDefault="00841856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17DDF"/>
    <w:rsid w:val="00326CB8"/>
    <w:rsid w:val="00336471"/>
    <w:rsid w:val="003403F7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16E82"/>
    <w:rsid w:val="00527592"/>
    <w:rsid w:val="005541BD"/>
    <w:rsid w:val="0057701C"/>
    <w:rsid w:val="00581DB0"/>
    <w:rsid w:val="005A5F8F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187"/>
    <w:rsid w:val="007C38E5"/>
    <w:rsid w:val="007C3AB2"/>
    <w:rsid w:val="007C659C"/>
    <w:rsid w:val="007D4625"/>
    <w:rsid w:val="007F46A7"/>
    <w:rsid w:val="0081647B"/>
    <w:rsid w:val="00841856"/>
    <w:rsid w:val="00880E6E"/>
    <w:rsid w:val="00896439"/>
    <w:rsid w:val="008A4138"/>
    <w:rsid w:val="008E0E58"/>
    <w:rsid w:val="008F5D1D"/>
    <w:rsid w:val="00913999"/>
    <w:rsid w:val="00926441"/>
    <w:rsid w:val="00985F71"/>
    <w:rsid w:val="00991DEC"/>
    <w:rsid w:val="009E6B68"/>
    <w:rsid w:val="009F23A3"/>
    <w:rsid w:val="00A37ADE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CE6C09"/>
    <w:rsid w:val="00D025AE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46780"/>
    <w:rsid w:val="00E53096"/>
    <w:rsid w:val="00E55842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30F4-E39F-49DB-A9E4-C537C92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6974-5843-4D70-949D-F3836DB3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1390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13</cp:revision>
  <cp:lastPrinted>2014-07-22T11:19:00Z</cp:lastPrinted>
  <dcterms:created xsi:type="dcterms:W3CDTF">2021-03-11T09:55:00Z</dcterms:created>
  <dcterms:modified xsi:type="dcterms:W3CDTF">2023-04-12T14:33:00Z</dcterms:modified>
</cp:coreProperties>
</file>