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11FC4" w14:textId="77777777" w:rsidR="00B8590C" w:rsidRDefault="007845BE">
      <w:pPr>
        <w:jc w:val="center"/>
        <w:rPr>
          <w:b/>
          <w:sz w:val="32"/>
          <w:szCs w:val="32"/>
        </w:rPr>
      </w:pPr>
      <w:r>
        <w:rPr>
          <w:b/>
          <w:sz w:val="32"/>
          <w:szCs w:val="32"/>
        </w:rPr>
        <w:t xml:space="preserve">Smlouva o účasti na řešení projektu výzkumu a vývoje </w:t>
      </w:r>
    </w:p>
    <w:p w14:paraId="740C7299" w14:textId="77777777" w:rsidR="00B8590C" w:rsidRDefault="007845BE">
      <w:pPr>
        <w:jc w:val="center"/>
        <w:rPr>
          <w:rFonts w:eastAsiaTheme="minorHAnsi"/>
          <w:b/>
          <w:sz w:val="32"/>
          <w:szCs w:val="32"/>
          <w:lang w:eastAsia="en-US"/>
        </w:rPr>
      </w:pPr>
      <w:r>
        <w:rPr>
          <w:b/>
          <w:sz w:val="32"/>
          <w:szCs w:val="32"/>
        </w:rPr>
        <w:t xml:space="preserve">č. </w:t>
      </w:r>
      <w:r>
        <w:rPr>
          <w:rFonts w:eastAsiaTheme="minorHAnsi"/>
          <w:b/>
          <w:sz w:val="32"/>
          <w:szCs w:val="32"/>
          <w:lang w:eastAsia="en-US"/>
        </w:rPr>
        <w:t>FW06010640</w:t>
      </w:r>
      <w:r>
        <w:rPr>
          <w:b/>
          <w:sz w:val="32"/>
          <w:szCs w:val="32"/>
        </w:rPr>
        <w:t xml:space="preserve"> s názvem „</w:t>
      </w:r>
      <w:r>
        <w:rPr>
          <w:rFonts w:eastAsiaTheme="minorHAnsi"/>
          <w:b/>
          <w:sz w:val="32"/>
          <w:szCs w:val="32"/>
          <w:lang w:eastAsia="en-US"/>
        </w:rPr>
        <w:t xml:space="preserve">Vývoj personalizované </w:t>
      </w:r>
    </w:p>
    <w:p w14:paraId="1C9553F7" w14:textId="77777777" w:rsidR="00B8590C" w:rsidRDefault="007845BE">
      <w:pPr>
        <w:jc w:val="center"/>
        <w:rPr>
          <w:b/>
          <w:sz w:val="32"/>
          <w:szCs w:val="32"/>
        </w:rPr>
      </w:pPr>
      <w:r>
        <w:rPr>
          <w:rFonts w:eastAsiaTheme="minorHAnsi"/>
          <w:b/>
          <w:sz w:val="32"/>
          <w:szCs w:val="32"/>
          <w:lang w:eastAsia="en-US"/>
        </w:rPr>
        <w:t>mikrobiomové výživy</w:t>
      </w:r>
      <w:r>
        <w:rPr>
          <w:b/>
          <w:sz w:val="32"/>
          <w:szCs w:val="32"/>
        </w:rPr>
        <w:t xml:space="preserve">“ </w:t>
      </w:r>
    </w:p>
    <w:p w14:paraId="27C2F24A" w14:textId="77777777" w:rsidR="00B8590C" w:rsidRDefault="00B8590C">
      <w:pPr>
        <w:ind w:left="90"/>
        <w:jc w:val="center"/>
        <w:rPr>
          <w:sz w:val="18"/>
          <w:szCs w:val="18"/>
        </w:rPr>
      </w:pPr>
    </w:p>
    <w:p w14:paraId="7CD5C643" w14:textId="77777777" w:rsidR="00B8590C" w:rsidRDefault="00B8590C">
      <w:pPr>
        <w:tabs>
          <w:tab w:val="left" w:pos="1985"/>
        </w:tabs>
        <w:ind w:left="567"/>
        <w:jc w:val="both"/>
        <w:rPr>
          <w:sz w:val="22"/>
          <w:szCs w:val="22"/>
          <w:highlight w:val="yellow"/>
        </w:rPr>
      </w:pPr>
    </w:p>
    <w:p w14:paraId="30240030" w14:textId="77777777" w:rsidR="00B8590C" w:rsidRDefault="007845BE">
      <w:pPr>
        <w:tabs>
          <w:tab w:val="left" w:pos="1985"/>
        </w:tabs>
        <w:ind w:left="567"/>
        <w:jc w:val="both"/>
        <w:rPr>
          <w:b/>
          <w:bCs/>
          <w:sz w:val="24"/>
          <w:szCs w:val="24"/>
        </w:rPr>
      </w:pPr>
      <w:r>
        <w:rPr>
          <w:sz w:val="24"/>
          <w:szCs w:val="24"/>
        </w:rPr>
        <w:t xml:space="preserve">Organizace: </w:t>
      </w:r>
      <w:r>
        <w:rPr>
          <w:sz w:val="24"/>
          <w:szCs w:val="24"/>
          <w:shd w:val="clear" w:color="auto" w:fill="FFFFFF"/>
        </w:rPr>
        <w:t>Medi Pharma Vision, s.r.o.</w:t>
      </w:r>
      <w:r>
        <w:rPr>
          <w:b/>
          <w:sz w:val="24"/>
          <w:szCs w:val="24"/>
        </w:rPr>
        <w:tab/>
      </w:r>
    </w:p>
    <w:p w14:paraId="7027F10D" w14:textId="77777777" w:rsidR="00B8590C" w:rsidRDefault="007845BE">
      <w:pPr>
        <w:tabs>
          <w:tab w:val="left" w:pos="1985"/>
        </w:tabs>
        <w:ind w:left="567"/>
        <w:jc w:val="both"/>
        <w:rPr>
          <w:b/>
          <w:bCs/>
          <w:sz w:val="24"/>
          <w:szCs w:val="24"/>
        </w:rPr>
      </w:pPr>
      <w:r>
        <w:rPr>
          <w:sz w:val="24"/>
          <w:szCs w:val="24"/>
        </w:rPr>
        <w:t xml:space="preserve">Se sídlem: </w:t>
      </w:r>
      <w:r>
        <w:rPr>
          <w:sz w:val="24"/>
          <w:szCs w:val="24"/>
          <w:shd w:val="clear" w:color="auto" w:fill="FFFFFF"/>
        </w:rPr>
        <w:t>Dobrovského 1310/64, 612 00 Brno - Královo Pole</w:t>
      </w:r>
    </w:p>
    <w:p w14:paraId="475761BB" w14:textId="77777777" w:rsidR="00B8590C" w:rsidRDefault="007845BE">
      <w:pPr>
        <w:tabs>
          <w:tab w:val="left" w:pos="1985"/>
        </w:tabs>
        <w:ind w:left="567"/>
        <w:jc w:val="both"/>
        <w:rPr>
          <w:sz w:val="24"/>
          <w:szCs w:val="24"/>
        </w:rPr>
      </w:pPr>
      <w:r>
        <w:rPr>
          <w:sz w:val="24"/>
          <w:szCs w:val="24"/>
        </w:rPr>
        <w:t xml:space="preserve">IČ: </w:t>
      </w:r>
      <w:r>
        <w:rPr>
          <w:sz w:val="24"/>
          <w:szCs w:val="24"/>
          <w:shd w:val="clear" w:color="auto" w:fill="FFFFFF"/>
        </w:rPr>
        <w:t>28635639</w:t>
      </w:r>
      <w:r>
        <w:rPr>
          <w:sz w:val="24"/>
          <w:szCs w:val="24"/>
        </w:rPr>
        <w:t xml:space="preserve">                  </w:t>
      </w:r>
      <w:r>
        <w:rPr>
          <w:sz w:val="24"/>
          <w:szCs w:val="24"/>
        </w:rPr>
        <w:tab/>
      </w:r>
    </w:p>
    <w:p w14:paraId="7E4D0CE2" w14:textId="77777777" w:rsidR="00B8590C" w:rsidRDefault="007845BE">
      <w:pPr>
        <w:tabs>
          <w:tab w:val="left" w:pos="1985"/>
        </w:tabs>
        <w:ind w:left="567"/>
        <w:jc w:val="both"/>
        <w:rPr>
          <w:b/>
          <w:bCs/>
          <w:sz w:val="24"/>
          <w:szCs w:val="24"/>
        </w:rPr>
      </w:pPr>
      <w:r>
        <w:rPr>
          <w:sz w:val="24"/>
          <w:szCs w:val="24"/>
        </w:rPr>
        <w:t xml:space="preserve">DIČ: CZ28635639  </w:t>
      </w:r>
      <w:r>
        <w:rPr>
          <w:sz w:val="24"/>
          <w:szCs w:val="24"/>
        </w:rPr>
        <w:tab/>
      </w:r>
    </w:p>
    <w:p w14:paraId="6CF44504" w14:textId="77777777" w:rsidR="00B8590C" w:rsidRDefault="007845BE">
      <w:pPr>
        <w:tabs>
          <w:tab w:val="left" w:pos="1985"/>
        </w:tabs>
        <w:ind w:left="567"/>
        <w:jc w:val="both"/>
        <w:rPr>
          <w:sz w:val="24"/>
          <w:szCs w:val="24"/>
        </w:rPr>
      </w:pPr>
      <w:r>
        <w:rPr>
          <w:sz w:val="24"/>
          <w:szCs w:val="24"/>
        </w:rPr>
        <w:t>Zapsána v obchodním rejstříku vedeném u Krajského soud v Brně vložka C 108398</w:t>
      </w:r>
    </w:p>
    <w:p w14:paraId="7208A1A9" w14:textId="2DE05D8F" w:rsidR="00B8590C" w:rsidRDefault="007845BE">
      <w:pPr>
        <w:tabs>
          <w:tab w:val="left" w:pos="1985"/>
        </w:tabs>
        <w:ind w:left="567"/>
        <w:jc w:val="both"/>
        <w:rPr>
          <w:sz w:val="24"/>
          <w:szCs w:val="24"/>
        </w:rPr>
      </w:pPr>
      <w:r>
        <w:rPr>
          <w:sz w:val="24"/>
          <w:szCs w:val="24"/>
        </w:rPr>
        <w:t xml:space="preserve">Zastoupená: </w:t>
      </w:r>
      <w:r w:rsidR="00B55AAF">
        <w:rPr>
          <w:sz w:val="24"/>
          <w:szCs w:val="24"/>
        </w:rPr>
        <w:t>xxxxxxxxxxxxxxxxxxxxxxxxxxxxxxx</w:t>
      </w:r>
    </w:p>
    <w:p w14:paraId="502ED04C" w14:textId="5FCF6E49" w:rsidR="00B8590C" w:rsidRDefault="007845BE">
      <w:pPr>
        <w:tabs>
          <w:tab w:val="left" w:pos="1985"/>
        </w:tabs>
        <w:ind w:left="567"/>
        <w:jc w:val="both"/>
        <w:rPr>
          <w:sz w:val="24"/>
          <w:szCs w:val="24"/>
        </w:rPr>
      </w:pPr>
      <w:r>
        <w:rPr>
          <w:sz w:val="24"/>
          <w:szCs w:val="24"/>
        </w:rPr>
        <w:t xml:space="preserve">Bankovní spojení: </w:t>
      </w:r>
      <w:r w:rsidR="00FC7CFA">
        <w:rPr>
          <w:sz w:val="24"/>
          <w:szCs w:val="24"/>
        </w:rPr>
        <w:t>xxxxxxxxxxxx</w:t>
      </w:r>
    </w:p>
    <w:p w14:paraId="2EF9CFD9" w14:textId="4F7C1CF1" w:rsidR="00B8590C" w:rsidRDefault="007845BE">
      <w:pPr>
        <w:tabs>
          <w:tab w:val="left" w:pos="1985"/>
        </w:tabs>
        <w:ind w:left="567"/>
        <w:jc w:val="both"/>
        <w:rPr>
          <w:sz w:val="24"/>
          <w:szCs w:val="24"/>
        </w:rPr>
      </w:pPr>
      <w:r>
        <w:rPr>
          <w:sz w:val="24"/>
          <w:szCs w:val="24"/>
        </w:rPr>
        <w:t xml:space="preserve">Číslo účtu: </w:t>
      </w:r>
      <w:r w:rsidR="00FC7CFA">
        <w:rPr>
          <w:sz w:val="24"/>
          <w:szCs w:val="24"/>
        </w:rPr>
        <w:t>xxxxxxxxxxxxxx</w:t>
      </w:r>
    </w:p>
    <w:p w14:paraId="40A78250" w14:textId="3BD2F411" w:rsidR="00B8590C" w:rsidRDefault="007845BE">
      <w:pPr>
        <w:tabs>
          <w:tab w:val="left" w:pos="1985"/>
        </w:tabs>
        <w:spacing w:after="120"/>
        <w:ind w:left="567"/>
        <w:jc w:val="both"/>
        <w:rPr>
          <w:sz w:val="24"/>
          <w:szCs w:val="24"/>
        </w:rPr>
      </w:pPr>
      <w:r>
        <w:rPr>
          <w:sz w:val="24"/>
          <w:szCs w:val="24"/>
        </w:rPr>
        <w:t xml:space="preserve">Jméno a příjmení řešitele: </w:t>
      </w:r>
      <w:r w:rsidR="00FC7CFA">
        <w:rPr>
          <w:sz w:val="24"/>
          <w:szCs w:val="24"/>
        </w:rPr>
        <w:t>xxxxxxxxxxxxxxx</w:t>
      </w:r>
      <w:r>
        <w:rPr>
          <w:sz w:val="24"/>
          <w:szCs w:val="24"/>
        </w:rPr>
        <w:tab/>
      </w:r>
    </w:p>
    <w:p w14:paraId="753EFFAA" w14:textId="77777777" w:rsidR="00B8590C" w:rsidRDefault="007845BE">
      <w:pPr>
        <w:spacing w:before="120" w:after="120"/>
        <w:ind w:left="567"/>
        <w:jc w:val="both"/>
        <w:rPr>
          <w:b/>
          <w:bCs/>
          <w:sz w:val="24"/>
          <w:szCs w:val="24"/>
        </w:rPr>
      </w:pPr>
      <w:r>
        <w:rPr>
          <w:sz w:val="24"/>
          <w:szCs w:val="24"/>
        </w:rPr>
        <w:t>(dále jen</w:t>
      </w:r>
      <w:r>
        <w:rPr>
          <w:b/>
          <w:bCs/>
          <w:sz w:val="24"/>
          <w:szCs w:val="24"/>
        </w:rPr>
        <w:t xml:space="preserve"> „Příjemce“)</w:t>
      </w:r>
    </w:p>
    <w:p w14:paraId="0CE31D57" w14:textId="77777777" w:rsidR="00B8590C" w:rsidRDefault="007845BE">
      <w:pPr>
        <w:spacing w:before="120" w:after="120"/>
        <w:ind w:left="567" w:right="6556"/>
        <w:jc w:val="both"/>
        <w:rPr>
          <w:sz w:val="24"/>
          <w:szCs w:val="24"/>
        </w:rPr>
      </w:pPr>
      <w:r>
        <w:rPr>
          <w:spacing w:val="22"/>
          <w:w w:val="109"/>
          <w:sz w:val="24"/>
          <w:szCs w:val="24"/>
        </w:rPr>
        <w:t xml:space="preserve"> </w:t>
      </w:r>
      <w:r>
        <w:rPr>
          <w:sz w:val="24"/>
          <w:szCs w:val="24"/>
        </w:rPr>
        <w:t>a</w:t>
      </w:r>
    </w:p>
    <w:p w14:paraId="7FE93A64" w14:textId="77777777" w:rsidR="00B8590C" w:rsidRDefault="007845BE">
      <w:pPr>
        <w:tabs>
          <w:tab w:val="left" w:pos="1985"/>
        </w:tabs>
        <w:ind w:left="567"/>
        <w:jc w:val="both"/>
        <w:rPr>
          <w:b/>
          <w:bCs/>
          <w:sz w:val="24"/>
          <w:szCs w:val="24"/>
        </w:rPr>
      </w:pPr>
      <w:r>
        <w:rPr>
          <w:sz w:val="24"/>
          <w:szCs w:val="24"/>
        </w:rPr>
        <w:t>Organizace:</w:t>
      </w:r>
      <w:r>
        <w:rPr>
          <w:b/>
          <w:sz w:val="24"/>
          <w:szCs w:val="24"/>
        </w:rPr>
        <w:t xml:space="preserve"> </w:t>
      </w:r>
      <w:r>
        <w:rPr>
          <w:sz w:val="24"/>
          <w:szCs w:val="24"/>
          <w:shd w:val="clear" w:color="auto" w:fill="FFFFFF"/>
        </w:rPr>
        <w:t>Výzkumný ústav veterinárního lékařství, v. v. i.</w:t>
      </w:r>
    </w:p>
    <w:p w14:paraId="3171F97A" w14:textId="77777777" w:rsidR="00B8590C" w:rsidRDefault="007845BE">
      <w:pPr>
        <w:tabs>
          <w:tab w:val="left" w:pos="1985"/>
        </w:tabs>
        <w:ind w:left="567"/>
        <w:jc w:val="both"/>
        <w:rPr>
          <w:b/>
          <w:bCs/>
          <w:sz w:val="24"/>
          <w:szCs w:val="24"/>
        </w:rPr>
      </w:pPr>
      <w:r>
        <w:rPr>
          <w:sz w:val="24"/>
          <w:szCs w:val="24"/>
        </w:rPr>
        <w:t xml:space="preserve">Se sídlem: </w:t>
      </w:r>
      <w:r>
        <w:rPr>
          <w:sz w:val="24"/>
          <w:szCs w:val="24"/>
          <w:shd w:val="clear" w:color="auto" w:fill="FFFFFF"/>
        </w:rPr>
        <w:t>Hudcova 296/70, 621 00 Brno</w:t>
      </w:r>
      <w:r w:rsidR="00F504E1">
        <w:rPr>
          <w:sz w:val="24"/>
          <w:szCs w:val="24"/>
          <w:shd w:val="clear" w:color="auto" w:fill="FFFFFF"/>
        </w:rPr>
        <w:t xml:space="preserve"> - Medlánky</w:t>
      </w:r>
      <w:r>
        <w:rPr>
          <w:b/>
          <w:bCs/>
          <w:sz w:val="24"/>
          <w:szCs w:val="24"/>
        </w:rPr>
        <w:tab/>
      </w:r>
      <w:r>
        <w:rPr>
          <w:b/>
          <w:bCs/>
          <w:sz w:val="24"/>
          <w:szCs w:val="24"/>
        </w:rPr>
        <w:tab/>
      </w:r>
    </w:p>
    <w:p w14:paraId="7C7C8D91" w14:textId="77777777" w:rsidR="00B8590C" w:rsidRDefault="007845BE">
      <w:pPr>
        <w:tabs>
          <w:tab w:val="left" w:pos="1985"/>
        </w:tabs>
        <w:ind w:left="567"/>
        <w:jc w:val="both"/>
        <w:rPr>
          <w:sz w:val="24"/>
          <w:szCs w:val="24"/>
        </w:rPr>
      </w:pPr>
      <w:r>
        <w:rPr>
          <w:sz w:val="24"/>
          <w:szCs w:val="24"/>
        </w:rPr>
        <w:t xml:space="preserve">IČ: </w:t>
      </w:r>
      <w:r>
        <w:rPr>
          <w:sz w:val="24"/>
          <w:szCs w:val="24"/>
          <w:shd w:val="clear" w:color="auto" w:fill="FFFFFF"/>
        </w:rPr>
        <w:t>00027162</w:t>
      </w:r>
      <w:r>
        <w:rPr>
          <w:sz w:val="24"/>
          <w:szCs w:val="24"/>
        </w:rPr>
        <w:t xml:space="preserve">              </w:t>
      </w:r>
      <w:r>
        <w:rPr>
          <w:sz w:val="24"/>
          <w:szCs w:val="24"/>
        </w:rPr>
        <w:tab/>
      </w:r>
    </w:p>
    <w:p w14:paraId="514FE21F" w14:textId="77777777" w:rsidR="00B8590C" w:rsidRDefault="007845BE">
      <w:pPr>
        <w:tabs>
          <w:tab w:val="left" w:pos="1985"/>
        </w:tabs>
        <w:ind w:left="567"/>
        <w:jc w:val="both"/>
        <w:rPr>
          <w:b/>
          <w:bCs/>
          <w:sz w:val="24"/>
          <w:szCs w:val="24"/>
        </w:rPr>
      </w:pPr>
      <w:r>
        <w:rPr>
          <w:sz w:val="24"/>
          <w:szCs w:val="24"/>
        </w:rPr>
        <w:t xml:space="preserve">DIČ: </w:t>
      </w:r>
      <w:r>
        <w:rPr>
          <w:sz w:val="24"/>
          <w:szCs w:val="24"/>
          <w:shd w:val="clear" w:color="auto" w:fill="FFFFFF"/>
        </w:rPr>
        <w:t>CZ00027162</w:t>
      </w:r>
      <w:r>
        <w:rPr>
          <w:sz w:val="24"/>
          <w:szCs w:val="24"/>
        </w:rPr>
        <w:t xml:space="preserve">         </w:t>
      </w:r>
      <w:r>
        <w:rPr>
          <w:sz w:val="24"/>
          <w:szCs w:val="24"/>
        </w:rPr>
        <w:tab/>
      </w:r>
    </w:p>
    <w:p w14:paraId="00A28F37" w14:textId="71D77123" w:rsidR="00B8590C" w:rsidRDefault="007845BE">
      <w:pPr>
        <w:tabs>
          <w:tab w:val="left" w:pos="1985"/>
        </w:tabs>
        <w:ind w:left="567"/>
        <w:jc w:val="both"/>
        <w:rPr>
          <w:sz w:val="24"/>
          <w:szCs w:val="24"/>
        </w:rPr>
      </w:pPr>
      <w:r>
        <w:rPr>
          <w:sz w:val="24"/>
          <w:szCs w:val="24"/>
        </w:rPr>
        <w:t>Zapsána v rejstříku veřejných výzkumných institucí vedeném Ministerstvem školství, mládeže a tělovýchovy od 1.</w:t>
      </w:r>
      <w:r w:rsidR="00716E2E">
        <w:rPr>
          <w:sz w:val="24"/>
          <w:szCs w:val="24"/>
        </w:rPr>
        <w:t xml:space="preserve"> </w:t>
      </w:r>
      <w:r>
        <w:rPr>
          <w:sz w:val="24"/>
          <w:szCs w:val="24"/>
        </w:rPr>
        <w:t>1.</w:t>
      </w:r>
      <w:r w:rsidR="00716E2E">
        <w:rPr>
          <w:sz w:val="24"/>
          <w:szCs w:val="24"/>
        </w:rPr>
        <w:t xml:space="preserve"> </w:t>
      </w:r>
      <w:r>
        <w:rPr>
          <w:sz w:val="24"/>
          <w:szCs w:val="24"/>
        </w:rPr>
        <w:t>2007 </w:t>
      </w:r>
    </w:p>
    <w:p w14:paraId="775CDD2F" w14:textId="3FEF2A41" w:rsidR="00B8590C" w:rsidRDefault="007845BE">
      <w:pPr>
        <w:tabs>
          <w:tab w:val="left" w:pos="1985"/>
        </w:tabs>
        <w:ind w:left="567"/>
        <w:jc w:val="both"/>
        <w:rPr>
          <w:sz w:val="24"/>
          <w:szCs w:val="24"/>
        </w:rPr>
      </w:pPr>
      <w:r>
        <w:rPr>
          <w:sz w:val="24"/>
          <w:szCs w:val="24"/>
        </w:rPr>
        <w:t>Zastoupená:</w:t>
      </w:r>
      <w:r>
        <w:rPr>
          <w:sz w:val="24"/>
          <w:szCs w:val="24"/>
        </w:rPr>
        <w:tab/>
      </w:r>
      <w:r w:rsidR="00B55AAF">
        <w:rPr>
          <w:sz w:val="24"/>
          <w:szCs w:val="24"/>
        </w:rPr>
        <w:t>xxxxxxxxxxxxxxxxxxxxxxxxxxxxxxxxxxxxxxxx</w:t>
      </w:r>
      <w:bookmarkStart w:id="0" w:name="_GoBack"/>
      <w:bookmarkEnd w:id="0"/>
    </w:p>
    <w:p w14:paraId="409E5AB9" w14:textId="016B2FE7" w:rsidR="00B8590C" w:rsidRDefault="007845BE">
      <w:pPr>
        <w:tabs>
          <w:tab w:val="left" w:pos="1985"/>
        </w:tabs>
        <w:ind w:left="567"/>
        <w:jc w:val="both"/>
        <w:rPr>
          <w:sz w:val="24"/>
          <w:szCs w:val="24"/>
        </w:rPr>
      </w:pPr>
      <w:r>
        <w:rPr>
          <w:sz w:val="24"/>
          <w:szCs w:val="24"/>
        </w:rPr>
        <w:t xml:space="preserve">Bankovní spojení: </w:t>
      </w:r>
      <w:r w:rsidR="00FC7CFA">
        <w:rPr>
          <w:sz w:val="24"/>
          <w:szCs w:val="24"/>
        </w:rPr>
        <w:t>xxxxxxxxxxxxxxx</w:t>
      </w:r>
    </w:p>
    <w:p w14:paraId="160B39F6" w14:textId="26574F48" w:rsidR="00B8590C" w:rsidRDefault="007845BE">
      <w:pPr>
        <w:tabs>
          <w:tab w:val="left" w:pos="1985"/>
        </w:tabs>
        <w:ind w:left="567"/>
        <w:jc w:val="both"/>
        <w:rPr>
          <w:sz w:val="24"/>
          <w:szCs w:val="24"/>
        </w:rPr>
      </w:pPr>
      <w:r>
        <w:rPr>
          <w:sz w:val="24"/>
          <w:szCs w:val="24"/>
        </w:rPr>
        <w:t xml:space="preserve">Číslo účtu:           </w:t>
      </w:r>
      <w:r w:rsidR="005539BF">
        <w:rPr>
          <w:sz w:val="24"/>
          <w:szCs w:val="24"/>
        </w:rPr>
        <w:t xml:space="preserve"> </w:t>
      </w:r>
      <w:r w:rsidR="00FC7CFA">
        <w:rPr>
          <w:sz w:val="24"/>
          <w:szCs w:val="24"/>
        </w:rPr>
        <w:t>xxxxxxxxxxxxxxx</w:t>
      </w:r>
      <w:r w:rsidR="00B5650C">
        <w:rPr>
          <w:sz w:val="24"/>
          <w:szCs w:val="24"/>
        </w:rPr>
        <w:t xml:space="preserve"> </w:t>
      </w:r>
    </w:p>
    <w:p w14:paraId="47BB422C" w14:textId="5BD4CF64" w:rsidR="00B8590C" w:rsidRDefault="007845BE">
      <w:pPr>
        <w:tabs>
          <w:tab w:val="left" w:pos="1985"/>
        </w:tabs>
        <w:ind w:left="567"/>
        <w:jc w:val="both"/>
        <w:rPr>
          <w:sz w:val="24"/>
          <w:szCs w:val="24"/>
        </w:rPr>
      </w:pPr>
      <w:r>
        <w:rPr>
          <w:sz w:val="24"/>
          <w:szCs w:val="24"/>
        </w:rPr>
        <w:t xml:space="preserve">Jméno a příjmení dalšího řešitele: </w:t>
      </w:r>
      <w:r w:rsidR="00FC7CFA">
        <w:rPr>
          <w:sz w:val="24"/>
          <w:szCs w:val="24"/>
        </w:rPr>
        <w:t>xxxxxxxxxxxxxxxxx</w:t>
      </w:r>
      <w:r>
        <w:rPr>
          <w:sz w:val="24"/>
          <w:szCs w:val="24"/>
        </w:rPr>
        <w:t xml:space="preserve"> </w:t>
      </w:r>
    </w:p>
    <w:p w14:paraId="75E66779" w14:textId="77777777" w:rsidR="00B8590C" w:rsidRDefault="007845BE">
      <w:pPr>
        <w:spacing w:before="120" w:after="120"/>
        <w:ind w:left="567"/>
        <w:jc w:val="both"/>
        <w:rPr>
          <w:strike/>
          <w:sz w:val="24"/>
          <w:szCs w:val="24"/>
        </w:rPr>
      </w:pPr>
      <w:r>
        <w:rPr>
          <w:sz w:val="24"/>
          <w:szCs w:val="24"/>
        </w:rPr>
        <w:t>(dále jen</w:t>
      </w:r>
      <w:r>
        <w:rPr>
          <w:b/>
          <w:bCs/>
          <w:sz w:val="24"/>
          <w:szCs w:val="24"/>
        </w:rPr>
        <w:t xml:space="preserve"> „Další účastník“)</w:t>
      </w:r>
    </w:p>
    <w:p w14:paraId="231C96D4" w14:textId="77777777" w:rsidR="00B8590C" w:rsidRDefault="007845BE">
      <w:pPr>
        <w:pStyle w:val="Zkladntext3"/>
        <w:tabs>
          <w:tab w:val="left" w:pos="709"/>
          <w:tab w:val="left" w:pos="737"/>
        </w:tabs>
        <w:spacing w:before="60" w:after="60"/>
        <w:rPr>
          <w:szCs w:val="24"/>
        </w:rPr>
      </w:pPr>
      <w:r>
        <w:rPr>
          <w:szCs w:val="24"/>
        </w:rPr>
        <w:t xml:space="preserve">          společně</w:t>
      </w:r>
      <w:r>
        <w:rPr>
          <w:spacing w:val="-2"/>
          <w:szCs w:val="24"/>
        </w:rPr>
        <w:t xml:space="preserve"> </w:t>
      </w:r>
      <w:r>
        <w:rPr>
          <w:szCs w:val="24"/>
        </w:rPr>
        <w:t>dále</w:t>
      </w:r>
      <w:r>
        <w:rPr>
          <w:spacing w:val="-11"/>
          <w:szCs w:val="24"/>
        </w:rPr>
        <w:t xml:space="preserve"> t</w:t>
      </w:r>
      <w:r>
        <w:rPr>
          <w:szCs w:val="24"/>
        </w:rPr>
        <w:t>aké</w:t>
      </w:r>
      <w:r>
        <w:rPr>
          <w:spacing w:val="-27"/>
          <w:szCs w:val="24"/>
        </w:rPr>
        <w:t xml:space="preserve"> </w:t>
      </w:r>
      <w:r>
        <w:rPr>
          <w:szCs w:val="24"/>
        </w:rPr>
        <w:t>jako</w:t>
      </w:r>
      <w:r>
        <w:rPr>
          <w:spacing w:val="16"/>
          <w:szCs w:val="24"/>
        </w:rPr>
        <w:t xml:space="preserve"> </w:t>
      </w:r>
      <w:r>
        <w:rPr>
          <w:szCs w:val="24"/>
        </w:rPr>
        <w:t>„</w:t>
      </w:r>
      <w:r>
        <w:rPr>
          <w:b/>
          <w:szCs w:val="24"/>
        </w:rPr>
        <w:t>Partneři</w:t>
      </w:r>
      <w:r>
        <w:rPr>
          <w:szCs w:val="24"/>
        </w:rPr>
        <w:t>" nebo „</w:t>
      </w:r>
      <w:r>
        <w:rPr>
          <w:b/>
          <w:szCs w:val="24"/>
        </w:rPr>
        <w:t>Smluvní strany</w:t>
      </w:r>
      <w:r>
        <w:rPr>
          <w:szCs w:val="24"/>
        </w:rPr>
        <w:t>“</w:t>
      </w:r>
    </w:p>
    <w:p w14:paraId="1AD2FEE3" w14:textId="77777777" w:rsidR="00B8590C" w:rsidRDefault="00B8590C">
      <w:pPr>
        <w:rPr>
          <w:sz w:val="24"/>
          <w:szCs w:val="24"/>
        </w:rPr>
      </w:pPr>
    </w:p>
    <w:p w14:paraId="2B8902F6" w14:textId="77777777" w:rsidR="00B8590C" w:rsidRDefault="007845BE">
      <w:pPr>
        <w:jc w:val="center"/>
        <w:rPr>
          <w:sz w:val="24"/>
          <w:szCs w:val="24"/>
        </w:rPr>
      </w:pPr>
      <w:r>
        <w:rPr>
          <w:sz w:val="24"/>
          <w:szCs w:val="24"/>
        </w:rPr>
        <w:t xml:space="preserve">uzavírají </w:t>
      </w:r>
      <w:r>
        <w:rPr>
          <w:rStyle w:val="Nadpis2Char"/>
          <w:rFonts w:eastAsiaTheme="minorHAnsi"/>
          <w:b w:val="0"/>
          <w:szCs w:val="24"/>
        </w:rPr>
        <w:t>tuto Smlouvu o účasti na řešení projektu</w:t>
      </w:r>
      <w:r>
        <w:rPr>
          <w:b/>
          <w:sz w:val="24"/>
          <w:szCs w:val="24"/>
        </w:rPr>
        <w:t xml:space="preserve"> </w:t>
      </w:r>
      <w:r>
        <w:rPr>
          <w:sz w:val="24"/>
          <w:szCs w:val="24"/>
        </w:rPr>
        <w:t>výzkumu a vývoje (dále jen „smlouva“).</w:t>
      </w:r>
    </w:p>
    <w:p w14:paraId="42436F8F" w14:textId="77777777" w:rsidR="00B8590C" w:rsidRDefault="007845BE">
      <w:pPr>
        <w:pStyle w:val="Nadpis2"/>
        <w:spacing w:before="240" w:after="60"/>
        <w:rPr>
          <w:rFonts w:ascii="Times New Roman" w:hAnsi="Times New Roman"/>
        </w:rPr>
      </w:pPr>
      <w:r>
        <w:rPr>
          <w:rFonts w:ascii="Times New Roman" w:hAnsi="Times New Roman"/>
        </w:rPr>
        <w:t>Článek 1.</w:t>
      </w:r>
    </w:p>
    <w:p w14:paraId="301B92C6" w14:textId="77777777" w:rsidR="00B8590C" w:rsidRDefault="007845BE">
      <w:pPr>
        <w:pStyle w:val="Nadpis2"/>
        <w:rPr>
          <w:rFonts w:ascii="Times New Roman" w:hAnsi="Times New Roman"/>
        </w:rPr>
      </w:pPr>
      <w:r>
        <w:rPr>
          <w:rFonts w:ascii="Times New Roman" w:hAnsi="Times New Roman"/>
        </w:rPr>
        <w:t>Předmět a účel smlouvy</w:t>
      </w:r>
    </w:p>
    <w:p w14:paraId="2CDA76E5" w14:textId="77777777" w:rsidR="00B8590C" w:rsidRDefault="007845BE">
      <w:pPr>
        <w:pStyle w:val="Zkladntext"/>
        <w:numPr>
          <w:ilvl w:val="2"/>
          <w:numId w:val="2"/>
        </w:numPr>
        <w:rPr>
          <w:szCs w:val="24"/>
        </w:rPr>
      </w:pPr>
      <w:r>
        <w:rPr>
          <w:szCs w:val="24"/>
        </w:rPr>
        <w:t>Předmětem a účelem této smlouvy je stanovení podmínek spolupráce smluvních stran na řešení projektu z oblasti výzkumu a vývoje s názvem „</w:t>
      </w:r>
      <w:r>
        <w:rPr>
          <w:rFonts w:eastAsiaTheme="minorHAnsi"/>
          <w:szCs w:val="24"/>
          <w:lang w:eastAsia="en-US"/>
        </w:rPr>
        <w:t>Vývoj personalizované mikrobiomové výživy</w:t>
      </w:r>
      <w:r>
        <w:rPr>
          <w:szCs w:val="24"/>
        </w:rPr>
        <w:t xml:space="preserve">“, registrovaného pod číslem </w:t>
      </w:r>
      <w:r>
        <w:rPr>
          <w:rFonts w:eastAsiaTheme="minorHAnsi"/>
          <w:szCs w:val="24"/>
          <w:lang w:eastAsia="en-US"/>
        </w:rPr>
        <w:t>FW06010640</w:t>
      </w:r>
      <w:r>
        <w:rPr>
          <w:szCs w:val="24"/>
        </w:rPr>
        <w:t xml:space="preserve"> (dále jen „projekt“) v Programu průmyslového výzkumu a experimentálního vývoje TREND Technologické agentury České republiky (dále jen „poskytovatel“), vymezení</w:t>
      </w:r>
      <w:r>
        <w:t xml:space="preserve"> závazků smluvních stran a stanovení zásad pro využití výsledků projektu</w:t>
      </w:r>
      <w:r>
        <w:rPr>
          <w:szCs w:val="24"/>
        </w:rPr>
        <w:t xml:space="preserve">. </w:t>
      </w:r>
    </w:p>
    <w:p w14:paraId="540FF52C" w14:textId="77777777" w:rsidR="00B8590C" w:rsidRDefault="007845BE">
      <w:pPr>
        <w:pStyle w:val="Zkladntext"/>
        <w:tabs>
          <w:tab w:val="left" w:pos="1440"/>
        </w:tabs>
        <w:spacing w:before="240"/>
        <w:jc w:val="center"/>
        <w:rPr>
          <w:b/>
        </w:rPr>
      </w:pPr>
      <w:r>
        <w:rPr>
          <w:b/>
        </w:rPr>
        <w:t>Článek 2.</w:t>
      </w:r>
    </w:p>
    <w:p w14:paraId="033D8BDA" w14:textId="77777777" w:rsidR="00B8590C" w:rsidRDefault="007845BE">
      <w:pPr>
        <w:pStyle w:val="Zkladntext"/>
        <w:tabs>
          <w:tab w:val="left" w:pos="1440"/>
        </w:tabs>
        <w:spacing w:after="120"/>
        <w:jc w:val="center"/>
        <w:rPr>
          <w:b/>
        </w:rPr>
      </w:pPr>
      <w:r>
        <w:rPr>
          <w:b/>
        </w:rPr>
        <w:t>Právní režim</w:t>
      </w:r>
    </w:p>
    <w:p w14:paraId="6B2AEF21" w14:textId="77777777" w:rsidR="00B8590C" w:rsidRDefault="007845BE">
      <w:pPr>
        <w:pStyle w:val="Zkladntext"/>
        <w:numPr>
          <w:ilvl w:val="0"/>
          <w:numId w:val="12"/>
        </w:numPr>
        <w:ind w:hanging="720"/>
        <w:rPr>
          <w:w w:val="105"/>
        </w:rPr>
      </w:pPr>
      <w:r>
        <w:rPr>
          <w:w w:val="105"/>
        </w:rPr>
        <w:t xml:space="preserve">Příjemce a další účastník projektu sjednávají, že právní vztahy založené touto smlouvou se řídí zákonem č. 89/2012 Sb., občanský zákoník, ve znění pozdějších předpisů (dále jako „občanský zákoník“), zákonem č. 130/2002 Sb., o podpoře výzkumu a vývoje z veřejných prostředků a o změně některých souvisejících zákonů, ve znění pozdějších předpisů (dále jako „zákon o podpoře a výzkumu“, ZPVV), Nařízením Komise (EU) č. 651/2014 ze dne 17. června 2014, kterým se v souladu s články 107 a 108 Smlouvy prohlašují určité kategorie podpory za slučitelné s vnitřním trhem (zejména čl. 25 </w:t>
      </w:r>
      <w:r>
        <w:rPr>
          <w:w w:val="105"/>
        </w:rPr>
        <w:lastRenderedPageBreak/>
        <w:t>nařízení), Sdělením Evropské komise - Rámec pro státní podporu výzkumu, vývoje a inovací (2014/C 198/01) a dalšími souvisejícími právními předpisy.</w:t>
      </w:r>
    </w:p>
    <w:p w14:paraId="6924A306" w14:textId="77777777" w:rsidR="00B8590C" w:rsidRDefault="007845BE">
      <w:pPr>
        <w:pStyle w:val="Nadpis2"/>
        <w:spacing w:before="240" w:after="60"/>
        <w:rPr>
          <w:rFonts w:ascii="Times New Roman" w:hAnsi="Times New Roman"/>
        </w:rPr>
      </w:pPr>
      <w:r>
        <w:rPr>
          <w:rFonts w:ascii="Times New Roman" w:hAnsi="Times New Roman"/>
        </w:rPr>
        <w:t>Článek 3.</w:t>
      </w:r>
    </w:p>
    <w:p w14:paraId="3D8F0C73" w14:textId="77777777" w:rsidR="00B8590C" w:rsidRDefault="007845BE">
      <w:pPr>
        <w:pStyle w:val="Nadpis2"/>
        <w:rPr>
          <w:rFonts w:ascii="Times New Roman" w:hAnsi="Times New Roman"/>
        </w:rPr>
      </w:pPr>
      <w:r>
        <w:rPr>
          <w:rFonts w:ascii="Times New Roman" w:hAnsi="Times New Roman"/>
        </w:rPr>
        <w:t>Řešení projektu</w:t>
      </w:r>
    </w:p>
    <w:p w14:paraId="33DD6781" w14:textId="77777777" w:rsidR="00B8590C" w:rsidRDefault="007845BE">
      <w:pPr>
        <w:numPr>
          <w:ilvl w:val="0"/>
          <w:numId w:val="3"/>
        </w:numPr>
        <w:spacing w:before="60"/>
        <w:jc w:val="both"/>
        <w:rPr>
          <w:sz w:val="24"/>
        </w:rPr>
      </w:pPr>
      <w:r>
        <w:rPr>
          <w:sz w:val="24"/>
        </w:rPr>
        <w:t>Řešení projektu je rozloženo do období 01/2023–12/2026.</w:t>
      </w:r>
    </w:p>
    <w:p w14:paraId="4FD87D87" w14:textId="7F0D8CAD" w:rsidR="00B8590C" w:rsidRDefault="007845BE">
      <w:pPr>
        <w:numPr>
          <w:ilvl w:val="0"/>
          <w:numId w:val="3"/>
        </w:numPr>
        <w:spacing w:before="60"/>
        <w:jc w:val="both"/>
        <w:rPr>
          <w:sz w:val="24"/>
        </w:rPr>
      </w:pPr>
      <w:r>
        <w:rPr>
          <w:sz w:val="24"/>
          <w:szCs w:val="24"/>
        </w:rPr>
        <w:t xml:space="preserve">Předmět řešení projektu, časový plán řešení projektu, cíle projektu, jeho předpokládané výsledky a </w:t>
      </w:r>
      <w:r>
        <w:rPr>
          <w:sz w:val="24"/>
        </w:rPr>
        <w:t>termíny jejich dosažení</w:t>
      </w:r>
      <w:r>
        <w:rPr>
          <w:sz w:val="24"/>
          <w:szCs w:val="24"/>
        </w:rPr>
        <w:t>, konkrétní úkoly jednotlivých řešitelů, etapy a předpokládaný postup prací jsou obsaženy ve schváleném návrhu projektu a jeho přílohách. Partneři se zavazují postupovat při realizaci projektu tak, aby dosáhli cílů projektu stanovených v návrhu projektu a Závazných parametrech, které tvoří přílohu Smlouvy o poskytnutí podpory uzavřené mezi příjemcem a poskytovatelem. Partneři se zavazují postupovat při realizaci projektu v souladu s podmínkami poskytovatele a v souladu se Smlouvou o poskytnutí podpory č. 2023FW06010640 (včetně všech jejích příloh), uzavřen</w:t>
      </w:r>
      <w:r w:rsidR="003F0500">
        <w:rPr>
          <w:sz w:val="24"/>
          <w:szCs w:val="24"/>
        </w:rPr>
        <w:t>ou</w:t>
      </w:r>
      <w:r>
        <w:rPr>
          <w:sz w:val="24"/>
          <w:szCs w:val="24"/>
        </w:rPr>
        <w:t xml:space="preserve"> mezi příjemcem a poskytovatelem (dále jako „smlouva o poskytnutí podpory“).</w:t>
      </w:r>
    </w:p>
    <w:p w14:paraId="3F5490B0" w14:textId="77777777" w:rsidR="00B8590C" w:rsidRDefault="007845BE">
      <w:pPr>
        <w:numPr>
          <w:ilvl w:val="0"/>
          <w:numId w:val="3"/>
        </w:numPr>
        <w:spacing w:before="60"/>
        <w:jc w:val="both"/>
        <w:rPr>
          <w:sz w:val="24"/>
          <w:szCs w:val="24"/>
        </w:rPr>
      </w:pPr>
      <w:r>
        <w:rPr>
          <w:sz w:val="24"/>
        </w:rPr>
        <w:t xml:space="preserve">Za řízení </w:t>
      </w:r>
      <w:r>
        <w:rPr>
          <w:sz w:val="24"/>
          <w:szCs w:val="24"/>
        </w:rPr>
        <w:t xml:space="preserve">projektu je odpovědný příjemce. </w:t>
      </w:r>
    </w:p>
    <w:p w14:paraId="2A3F9850" w14:textId="77777777" w:rsidR="00B8590C" w:rsidRDefault="007845BE">
      <w:pPr>
        <w:numPr>
          <w:ilvl w:val="0"/>
          <w:numId w:val="3"/>
        </w:numPr>
        <w:spacing w:before="60"/>
        <w:jc w:val="both"/>
        <w:rPr>
          <w:sz w:val="24"/>
          <w:szCs w:val="24"/>
        </w:rPr>
      </w:pPr>
      <w:r>
        <w:rPr>
          <w:sz w:val="24"/>
          <w:szCs w:val="24"/>
        </w:rPr>
        <w:t>Všech výsledků deklarovaných v Závazných parametrech řešení projektu bude dosaženo do ukončení řešení projektu.</w:t>
      </w:r>
    </w:p>
    <w:p w14:paraId="64C30FE0" w14:textId="77777777" w:rsidR="00B8590C" w:rsidRDefault="007845BE">
      <w:pPr>
        <w:pStyle w:val="Nadpis2"/>
        <w:spacing w:before="120" w:after="60"/>
        <w:rPr>
          <w:rFonts w:ascii="Times New Roman" w:hAnsi="Times New Roman"/>
        </w:rPr>
      </w:pPr>
      <w:r>
        <w:rPr>
          <w:rFonts w:ascii="Times New Roman" w:hAnsi="Times New Roman"/>
        </w:rPr>
        <w:t>Článek 4.</w:t>
      </w:r>
    </w:p>
    <w:p w14:paraId="2A44E3E9" w14:textId="77777777" w:rsidR="00B8590C" w:rsidRDefault="007845BE">
      <w:pPr>
        <w:pStyle w:val="Nadpis2"/>
        <w:rPr>
          <w:rFonts w:ascii="Times New Roman" w:hAnsi="Times New Roman"/>
        </w:rPr>
      </w:pPr>
      <w:r>
        <w:rPr>
          <w:rFonts w:ascii="Times New Roman" w:hAnsi="Times New Roman"/>
        </w:rPr>
        <w:t>Řešitelský tým a věcná náplň spolupráce</w:t>
      </w:r>
    </w:p>
    <w:p w14:paraId="2FE82BD3" w14:textId="77777777" w:rsidR="00B8590C" w:rsidRDefault="007845BE">
      <w:pPr>
        <w:numPr>
          <w:ilvl w:val="0"/>
          <w:numId w:val="4"/>
        </w:numPr>
        <w:overflowPunct w:val="0"/>
        <w:spacing w:before="60"/>
        <w:jc w:val="both"/>
        <w:textAlignment w:val="auto"/>
        <w:rPr>
          <w:sz w:val="24"/>
          <w:szCs w:val="24"/>
        </w:rPr>
      </w:pPr>
      <w:r>
        <w:rPr>
          <w:sz w:val="24"/>
          <w:szCs w:val="24"/>
        </w:rPr>
        <w:t>Řešitelský tým tvoří osoby, které se významným způsobem podílejí na řešení projektu a jsou v pracovním poměru k příjemci či dalšímu účastníkovi projektu.</w:t>
      </w:r>
    </w:p>
    <w:p w14:paraId="78E610BF" w14:textId="7D65075D" w:rsidR="00B8590C" w:rsidRDefault="007845BE">
      <w:pPr>
        <w:numPr>
          <w:ilvl w:val="0"/>
          <w:numId w:val="4"/>
        </w:numPr>
        <w:spacing w:before="60"/>
        <w:jc w:val="both"/>
        <w:rPr>
          <w:sz w:val="24"/>
          <w:szCs w:val="24"/>
        </w:rPr>
      </w:pPr>
      <w:r>
        <w:rPr>
          <w:sz w:val="24"/>
          <w:szCs w:val="24"/>
        </w:rPr>
        <w:t xml:space="preserve">Osobou odpovědnou za řešení a odbornou úroveň projektu na straně příjemce je: </w:t>
      </w:r>
      <w:r w:rsidR="00FC7CFA">
        <w:rPr>
          <w:sz w:val="24"/>
          <w:szCs w:val="24"/>
        </w:rPr>
        <w:t>xxxxxxxxxxx</w:t>
      </w:r>
      <w:r>
        <w:rPr>
          <w:sz w:val="24"/>
          <w:szCs w:val="24"/>
        </w:rPr>
        <w:t xml:space="preserve"> (dále též „řešitel“).</w:t>
      </w:r>
    </w:p>
    <w:p w14:paraId="2D1D5A16" w14:textId="3AB0F2E1" w:rsidR="00B8590C" w:rsidRDefault="007845BE">
      <w:pPr>
        <w:numPr>
          <w:ilvl w:val="0"/>
          <w:numId w:val="4"/>
        </w:numPr>
        <w:spacing w:before="60"/>
        <w:jc w:val="both"/>
        <w:rPr>
          <w:sz w:val="24"/>
          <w:szCs w:val="24"/>
        </w:rPr>
      </w:pPr>
      <w:r>
        <w:rPr>
          <w:sz w:val="24"/>
          <w:szCs w:val="24"/>
        </w:rPr>
        <w:t xml:space="preserve">Osobou odpovědnou za řešení a odbornou úroveň projektu na straně dalšího účastníka projektu je: </w:t>
      </w:r>
      <w:r w:rsidR="00FC7CFA">
        <w:rPr>
          <w:sz w:val="24"/>
          <w:szCs w:val="24"/>
        </w:rPr>
        <w:t>xxxxxxxxxxxxxxxxxxxxxxxx</w:t>
      </w:r>
      <w:r>
        <w:rPr>
          <w:sz w:val="24"/>
          <w:szCs w:val="24"/>
        </w:rPr>
        <w:t xml:space="preserve"> (dále též „další řešitel“).</w:t>
      </w:r>
    </w:p>
    <w:p w14:paraId="5A15CAA4" w14:textId="77777777" w:rsidR="00B8590C" w:rsidRDefault="007845BE">
      <w:pPr>
        <w:numPr>
          <w:ilvl w:val="0"/>
          <w:numId w:val="4"/>
        </w:numPr>
        <w:spacing w:before="60"/>
        <w:jc w:val="both"/>
        <w:rPr>
          <w:sz w:val="24"/>
          <w:szCs w:val="24"/>
        </w:rPr>
      </w:pPr>
      <w:r>
        <w:rPr>
          <w:sz w:val="24"/>
          <w:szCs w:val="24"/>
        </w:rPr>
        <w:t xml:space="preserve">Smluvní strany se za účelem naplnění předmětu smlouvy vymezeného výše zavazují spolupracovat tak, že zajistí spolupráci (práce) řešitele (příp. dalších osob na straně příjemce) a dalšího řešitele (příp. dalších osob na straně dalšího účastníka projektu) na řešení úkolů v rámci projektu v termínech a rozsahu uvedených ve schváleném návrhu projektu. </w:t>
      </w:r>
    </w:p>
    <w:p w14:paraId="110BEED1" w14:textId="77777777" w:rsidR="00B8590C" w:rsidRDefault="007845BE">
      <w:pPr>
        <w:numPr>
          <w:ilvl w:val="0"/>
          <w:numId w:val="4"/>
        </w:numPr>
        <w:spacing w:before="60"/>
        <w:jc w:val="both"/>
        <w:rPr>
          <w:sz w:val="24"/>
          <w:szCs w:val="24"/>
        </w:rPr>
      </w:pPr>
      <w:r>
        <w:rPr>
          <w:sz w:val="24"/>
          <w:szCs w:val="24"/>
        </w:rPr>
        <w:t>Každá ze smluvních stran odpovídá za tu část projektu, kterou fakticky provádí a vykonává, a to v souladu se schváleným návrhem projektu. Rozdělení činností v rámci řešení projektu je dáno v návrhu projektu a je pro smluvní strany závazné.</w:t>
      </w:r>
    </w:p>
    <w:p w14:paraId="11D5775C" w14:textId="77777777" w:rsidR="00B8590C" w:rsidRDefault="007845BE">
      <w:pPr>
        <w:numPr>
          <w:ilvl w:val="0"/>
          <w:numId w:val="4"/>
        </w:numPr>
        <w:spacing w:before="60"/>
        <w:jc w:val="both"/>
        <w:rPr>
          <w:sz w:val="24"/>
          <w:szCs w:val="24"/>
        </w:rPr>
      </w:pPr>
      <w:r>
        <w:rPr>
          <w:sz w:val="24"/>
          <w:szCs w:val="24"/>
        </w:rPr>
        <w:t>Smluvní</w:t>
      </w:r>
      <w:r>
        <w:rPr>
          <w:sz w:val="24"/>
        </w:rPr>
        <w:t xml:space="preserve"> strany se zavazují spolupracovat na implementačních plánech k jednotlivým výsledkům řešení projektu dle Smlouvy o poskytnutí podpory a Závazných parametrech řešení projektu.</w:t>
      </w:r>
    </w:p>
    <w:p w14:paraId="4550B713" w14:textId="77777777" w:rsidR="00B8590C" w:rsidRDefault="007845BE">
      <w:pPr>
        <w:pStyle w:val="Nadpis2"/>
        <w:spacing w:before="120" w:after="60"/>
        <w:rPr>
          <w:rFonts w:ascii="Times New Roman" w:hAnsi="Times New Roman"/>
        </w:rPr>
      </w:pPr>
      <w:r>
        <w:rPr>
          <w:rFonts w:ascii="Times New Roman" w:hAnsi="Times New Roman"/>
        </w:rPr>
        <w:t>Článek 5.</w:t>
      </w:r>
    </w:p>
    <w:p w14:paraId="448C25A6" w14:textId="77777777" w:rsidR="00B8590C" w:rsidRDefault="007845BE">
      <w:pPr>
        <w:pStyle w:val="Nadpis2"/>
        <w:rPr>
          <w:rFonts w:ascii="Times New Roman" w:hAnsi="Times New Roman"/>
        </w:rPr>
      </w:pPr>
      <w:r>
        <w:rPr>
          <w:rFonts w:ascii="Times New Roman" w:hAnsi="Times New Roman"/>
        </w:rPr>
        <w:t>Finanční zajištění projektu</w:t>
      </w:r>
    </w:p>
    <w:p w14:paraId="4F8D31A9" w14:textId="65209E1B" w:rsidR="00B8590C" w:rsidRDefault="007845BE">
      <w:pPr>
        <w:numPr>
          <w:ilvl w:val="0"/>
          <w:numId w:val="5"/>
        </w:numPr>
        <w:spacing w:before="120"/>
        <w:jc w:val="both"/>
        <w:rPr>
          <w:sz w:val="24"/>
        </w:rPr>
      </w:pPr>
      <w:r>
        <w:rPr>
          <w:sz w:val="24"/>
        </w:rPr>
        <w:t>Příjemce se na základě této smlouvy zavazuje dalšímu účastníkovi převést na řešení výše uvedené věcné náplně projektu neinvestiční účelové finanční prostředky</w:t>
      </w:r>
      <w:r w:rsidR="000B08A7">
        <w:rPr>
          <w:sz w:val="24"/>
        </w:rPr>
        <w:t xml:space="preserve"> </w:t>
      </w:r>
      <w:r>
        <w:rPr>
          <w:sz w:val="24"/>
        </w:rPr>
        <w:t>ve výši:</w:t>
      </w:r>
    </w:p>
    <w:p w14:paraId="76B710DC" w14:textId="77777777" w:rsidR="00B8590C" w:rsidRDefault="007845BE">
      <w:pPr>
        <w:spacing w:before="120" w:after="60"/>
        <w:jc w:val="center"/>
        <w:rPr>
          <w:b/>
          <w:sz w:val="24"/>
        </w:rPr>
      </w:pPr>
      <w:r>
        <w:rPr>
          <w:b/>
          <w:sz w:val="24"/>
        </w:rPr>
        <w:t xml:space="preserve">5 768 064,- Kč, </w:t>
      </w:r>
    </w:p>
    <w:p w14:paraId="680EBA69" w14:textId="6E5D9AF9" w:rsidR="00B8590C" w:rsidRDefault="007845BE">
      <w:pPr>
        <w:ind w:left="709"/>
        <w:jc w:val="both"/>
        <w:rPr>
          <w:sz w:val="24"/>
        </w:rPr>
      </w:pPr>
      <w:r>
        <w:rPr>
          <w:sz w:val="24"/>
        </w:rPr>
        <w:t xml:space="preserve">a to </w:t>
      </w:r>
      <w:r>
        <w:rPr>
          <w:sz w:val="24"/>
        </w:rPr>
        <w:tab/>
      </w:r>
      <w:r w:rsidR="00FC7CFA">
        <w:rPr>
          <w:sz w:val="24"/>
        </w:rPr>
        <w:t>xxxxxxxxxxxxxxxxxxxxxxxxxxxxx</w:t>
      </w:r>
      <w:r>
        <w:rPr>
          <w:sz w:val="24"/>
        </w:rPr>
        <w:t>,</w:t>
      </w:r>
    </w:p>
    <w:p w14:paraId="18123CF7" w14:textId="66FCDDFB" w:rsidR="00B8590C" w:rsidRDefault="00FC7CFA">
      <w:pPr>
        <w:ind w:left="709" w:firstLine="709"/>
        <w:jc w:val="both"/>
        <w:rPr>
          <w:sz w:val="24"/>
        </w:rPr>
      </w:pPr>
      <w:r>
        <w:rPr>
          <w:sz w:val="24"/>
        </w:rPr>
        <w:t>xxxxxxxxxxxxxxxxxxxxxxxxxxxxx</w:t>
      </w:r>
      <w:r w:rsidR="007845BE">
        <w:rPr>
          <w:sz w:val="24"/>
        </w:rPr>
        <w:t>,</w:t>
      </w:r>
    </w:p>
    <w:p w14:paraId="0EB99C03" w14:textId="57E7BE8F" w:rsidR="00B8590C" w:rsidRDefault="00FC7CFA">
      <w:pPr>
        <w:ind w:left="709" w:firstLine="709"/>
        <w:jc w:val="both"/>
        <w:rPr>
          <w:sz w:val="24"/>
        </w:rPr>
      </w:pPr>
      <w:r>
        <w:rPr>
          <w:sz w:val="24"/>
        </w:rPr>
        <w:t>xxxxxxxxxxxxxxxxxxxxxxxxxxxxx</w:t>
      </w:r>
      <w:r w:rsidR="007845BE">
        <w:rPr>
          <w:sz w:val="24"/>
        </w:rPr>
        <w:t>,</w:t>
      </w:r>
    </w:p>
    <w:p w14:paraId="01A2CF1F" w14:textId="7D96F2DD" w:rsidR="00B8590C" w:rsidRDefault="00FC7CFA">
      <w:pPr>
        <w:ind w:left="709" w:firstLine="709"/>
        <w:jc w:val="both"/>
        <w:rPr>
          <w:sz w:val="24"/>
        </w:rPr>
      </w:pPr>
      <w:r>
        <w:rPr>
          <w:sz w:val="24"/>
        </w:rPr>
        <w:t>xxxxxxxxxxxxxxxxxxxxxxxxxxxxx</w:t>
      </w:r>
      <w:r w:rsidR="007845BE">
        <w:rPr>
          <w:sz w:val="24"/>
        </w:rPr>
        <w:t>.</w:t>
      </w:r>
    </w:p>
    <w:p w14:paraId="5DF09C4C" w14:textId="31FE8F15" w:rsidR="00B8590C" w:rsidRDefault="007845BE">
      <w:pPr>
        <w:numPr>
          <w:ilvl w:val="0"/>
          <w:numId w:val="5"/>
        </w:numPr>
        <w:tabs>
          <w:tab w:val="left" w:pos="709"/>
        </w:tabs>
        <w:spacing w:before="60" w:after="60"/>
        <w:jc w:val="both"/>
        <w:rPr>
          <w:sz w:val="24"/>
        </w:rPr>
      </w:pPr>
      <w:r>
        <w:rPr>
          <w:bCs/>
          <w:sz w:val="24"/>
        </w:rPr>
        <w:t xml:space="preserve">Účelové finanční prostředky je příjemce povinen dalšímu účastníkovi projektu uhradit vždy bezhotovostním převodem na jeho bankovní účet uvedený v úvodu smlouvy (údaje Dalšího účastníka) nejpozději do </w:t>
      </w:r>
      <w:r w:rsidR="001E05CC">
        <w:rPr>
          <w:bCs/>
          <w:sz w:val="24"/>
        </w:rPr>
        <w:t>6</w:t>
      </w:r>
      <w:r>
        <w:rPr>
          <w:bCs/>
          <w:sz w:val="24"/>
        </w:rPr>
        <w:t>0-ti dnů od obdržení účelových prostředků od poskytovatele.</w:t>
      </w:r>
    </w:p>
    <w:p w14:paraId="72A8E6C0" w14:textId="77777777" w:rsidR="00B8590C" w:rsidRDefault="007845BE">
      <w:pPr>
        <w:numPr>
          <w:ilvl w:val="0"/>
          <w:numId w:val="5"/>
        </w:numPr>
        <w:tabs>
          <w:tab w:val="left" w:pos="709"/>
        </w:tabs>
        <w:spacing w:before="60"/>
        <w:jc w:val="both"/>
        <w:rPr>
          <w:spacing w:val="-2"/>
          <w:sz w:val="24"/>
        </w:rPr>
      </w:pPr>
      <w:r>
        <w:rPr>
          <w:spacing w:val="-2"/>
          <w:sz w:val="24"/>
        </w:rPr>
        <w:lastRenderedPageBreak/>
        <w:t>Převáděné účelové finanční prostředky nejsou předmětem DPH.</w:t>
      </w:r>
    </w:p>
    <w:p w14:paraId="54A94291" w14:textId="77777777" w:rsidR="00B8590C" w:rsidRDefault="007845BE">
      <w:pPr>
        <w:numPr>
          <w:ilvl w:val="0"/>
          <w:numId w:val="5"/>
        </w:numPr>
        <w:tabs>
          <w:tab w:val="left" w:pos="709"/>
        </w:tabs>
        <w:spacing w:before="60"/>
        <w:jc w:val="both"/>
        <w:rPr>
          <w:bCs/>
          <w:spacing w:val="-2"/>
          <w:sz w:val="24"/>
        </w:rPr>
      </w:pPr>
      <w:r>
        <w:rPr>
          <w:sz w:val="24"/>
        </w:rPr>
        <w:t>Účelové finanční prostředky dle této smlouvy jsou příjemcem dalšímu účastníkovi projektu poskytovány na úhradu skutečně vynaložených provozních nákladů účelově vymezených touto smlouvou.</w:t>
      </w:r>
    </w:p>
    <w:p w14:paraId="7C6BA763" w14:textId="77777777" w:rsidR="00B8590C" w:rsidRDefault="007845BE">
      <w:pPr>
        <w:numPr>
          <w:ilvl w:val="0"/>
          <w:numId w:val="5"/>
        </w:numPr>
        <w:tabs>
          <w:tab w:val="left" w:pos="709"/>
        </w:tabs>
        <w:spacing w:before="60"/>
        <w:jc w:val="both"/>
        <w:rPr>
          <w:bCs/>
          <w:spacing w:val="-2"/>
          <w:sz w:val="24"/>
        </w:rPr>
      </w:pPr>
      <w:r>
        <w:rPr>
          <w:bCs/>
          <w:spacing w:val="-2"/>
          <w:sz w:val="24"/>
        </w:rPr>
        <w:t>Smluvní strany ujednávají, že jejich vklad do spolupráce na řešení projektu je:</w:t>
      </w:r>
    </w:p>
    <w:p w14:paraId="061EE611" w14:textId="77777777" w:rsidR="00FC7CFA" w:rsidRDefault="007845BE">
      <w:pPr>
        <w:numPr>
          <w:ilvl w:val="1"/>
          <w:numId w:val="5"/>
        </w:numPr>
        <w:tabs>
          <w:tab w:val="left" w:pos="709"/>
        </w:tabs>
        <w:spacing w:before="60"/>
        <w:jc w:val="both"/>
        <w:rPr>
          <w:bCs/>
          <w:spacing w:val="-2"/>
          <w:sz w:val="24"/>
        </w:rPr>
      </w:pPr>
      <w:r>
        <w:rPr>
          <w:bCs/>
          <w:spacing w:val="-2"/>
          <w:sz w:val="24"/>
        </w:rPr>
        <w:t xml:space="preserve">ze strany příjemce: </w:t>
      </w:r>
      <w:r w:rsidR="00FC7CFA">
        <w:rPr>
          <w:bCs/>
          <w:spacing w:val="-2"/>
          <w:sz w:val="24"/>
        </w:rPr>
        <w:t>xxxxxxxxxxxxxxxxxxxxxxxxxxxxxxxxxxxxxxxxxxxxxxxxxxxxx</w:t>
      </w:r>
    </w:p>
    <w:p w14:paraId="490184B0" w14:textId="27224413" w:rsidR="00B8590C" w:rsidRDefault="00FC7CFA" w:rsidP="00FC7CFA">
      <w:pPr>
        <w:tabs>
          <w:tab w:val="left" w:pos="709"/>
        </w:tabs>
        <w:spacing w:before="60"/>
        <w:ind w:left="1080"/>
        <w:jc w:val="both"/>
        <w:rPr>
          <w:bCs/>
          <w:spacing w:val="-2"/>
          <w:sz w:val="24"/>
        </w:rPr>
      </w:pPr>
      <w:r>
        <w:rPr>
          <w:bCs/>
          <w:spacing w:val="-2"/>
          <w:sz w:val="24"/>
        </w:rPr>
        <w:t xml:space="preserve">       xxxxxxxxxxxxx</w:t>
      </w:r>
      <w:r w:rsidR="007845BE">
        <w:rPr>
          <w:bCs/>
          <w:spacing w:val="-2"/>
          <w:sz w:val="24"/>
        </w:rPr>
        <w:t>;</w:t>
      </w:r>
    </w:p>
    <w:p w14:paraId="5F6678DC" w14:textId="77777777" w:rsidR="00FC7CFA" w:rsidRDefault="007845BE">
      <w:pPr>
        <w:numPr>
          <w:ilvl w:val="1"/>
          <w:numId w:val="5"/>
        </w:numPr>
        <w:tabs>
          <w:tab w:val="left" w:pos="709"/>
        </w:tabs>
        <w:spacing w:before="60"/>
        <w:jc w:val="both"/>
        <w:rPr>
          <w:bCs/>
          <w:spacing w:val="-2"/>
          <w:sz w:val="24"/>
        </w:rPr>
      </w:pPr>
      <w:r>
        <w:rPr>
          <w:bCs/>
          <w:spacing w:val="-2"/>
          <w:sz w:val="24"/>
        </w:rPr>
        <w:t xml:space="preserve">ze strany dalšího účastníka projektu: </w:t>
      </w:r>
      <w:r w:rsidR="00FC7CFA">
        <w:rPr>
          <w:bCs/>
          <w:spacing w:val="-2"/>
          <w:sz w:val="24"/>
        </w:rPr>
        <w:t>xxxxxxxxxxxxxxxxxxxxxxxxxxxxxxxxxxxxxxx</w:t>
      </w:r>
    </w:p>
    <w:p w14:paraId="5A4C3A5D" w14:textId="7615A185" w:rsidR="00B8590C" w:rsidRDefault="00FC7CFA" w:rsidP="00FC7CFA">
      <w:pPr>
        <w:tabs>
          <w:tab w:val="left" w:pos="709"/>
        </w:tabs>
        <w:spacing w:before="60"/>
        <w:ind w:left="1080"/>
        <w:jc w:val="both"/>
        <w:rPr>
          <w:bCs/>
          <w:spacing w:val="-2"/>
          <w:sz w:val="24"/>
        </w:rPr>
      </w:pPr>
      <w:r>
        <w:rPr>
          <w:bCs/>
          <w:spacing w:val="-2"/>
          <w:sz w:val="24"/>
        </w:rPr>
        <w:t xml:space="preserve">      xxxxxxx</w:t>
      </w:r>
      <w:r w:rsidR="007845BE">
        <w:rPr>
          <w:bCs/>
          <w:spacing w:val="-2"/>
          <w:sz w:val="24"/>
        </w:rPr>
        <w:t>.</w:t>
      </w:r>
    </w:p>
    <w:p w14:paraId="3967E73D" w14:textId="77777777" w:rsidR="00B8590C" w:rsidRDefault="007845BE">
      <w:pPr>
        <w:pStyle w:val="Nadpis2"/>
        <w:spacing w:before="120" w:after="60"/>
        <w:rPr>
          <w:rFonts w:ascii="Times New Roman" w:hAnsi="Times New Roman"/>
        </w:rPr>
      </w:pPr>
      <w:r>
        <w:rPr>
          <w:rFonts w:ascii="Times New Roman" w:hAnsi="Times New Roman"/>
        </w:rPr>
        <w:t>Článek 6.</w:t>
      </w:r>
    </w:p>
    <w:p w14:paraId="621EE6C0" w14:textId="77777777" w:rsidR="00B8590C" w:rsidRDefault="007845BE">
      <w:pPr>
        <w:pStyle w:val="Nadpis2"/>
        <w:rPr>
          <w:rFonts w:ascii="Times New Roman" w:hAnsi="Times New Roman"/>
        </w:rPr>
      </w:pPr>
      <w:r>
        <w:rPr>
          <w:rFonts w:ascii="Times New Roman" w:hAnsi="Times New Roman"/>
        </w:rPr>
        <w:t>Podmínky použití poskytnutých účelových finančních prostředků</w:t>
      </w:r>
    </w:p>
    <w:p w14:paraId="56873A8D" w14:textId="77777777" w:rsidR="00B8590C" w:rsidRDefault="007845BE">
      <w:pPr>
        <w:numPr>
          <w:ilvl w:val="0"/>
          <w:numId w:val="9"/>
        </w:numPr>
        <w:spacing w:before="120"/>
        <w:jc w:val="both"/>
        <w:rPr>
          <w:sz w:val="24"/>
        </w:rPr>
      </w:pPr>
      <w:r>
        <w:rPr>
          <w:sz w:val="24"/>
        </w:rPr>
        <w:t xml:space="preserve">Další účastník projektu je povinen: </w:t>
      </w:r>
    </w:p>
    <w:p w14:paraId="1CDE1528" w14:textId="77777777" w:rsidR="00B8590C" w:rsidRDefault="007845BE">
      <w:pPr>
        <w:numPr>
          <w:ilvl w:val="0"/>
          <w:numId w:val="1"/>
        </w:numPr>
        <w:tabs>
          <w:tab w:val="left" w:pos="1418"/>
        </w:tabs>
        <w:spacing w:before="60"/>
        <w:ind w:left="1418" w:hanging="709"/>
        <w:jc w:val="both"/>
        <w:rPr>
          <w:sz w:val="24"/>
          <w:szCs w:val="24"/>
        </w:rPr>
      </w:pPr>
      <w:r>
        <w:rPr>
          <w:sz w:val="24"/>
          <w:szCs w:val="24"/>
        </w:rPr>
        <w:t xml:space="preserve">Čerpat a využívat podporu v souladu s pravidly poskytnutí podpory, Smlouvou o poskytnutí podpory, Závaznými parametry, Všeobecnými podmínkami a souvisejícími obecně závaznými právními předpisy, zejména využívat podporu na uznané náklady v souladu s částí E Všeobecných podmínek a postupovat v souladu s § 8 odst. 4 ZPVV podle zákona č. 134/2016 Sb., o zadávání veřejných zakázek v platném znění (ZZVZ). </w:t>
      </w:r>
    </w:p>
    <w:p w14:paraId="0EDE6285" w14:textId="77777777" w:rsidR="00B8590C" w:rsidRDefault="007845BE">
      <w:pPr>
        <w:numPr>
          <w:ilvl w:val="0"/>
          <w:numId w:val="1"/>
        </w:numPr>
        <w:tabs>
          <w:tab w:val="left" w:pos="1418"/>
        </w:tabs>
        <w:spacing w:before="60"/>
        <w:ind w:left="1418" w:hanging="709"/>
        <w:jc w:val="both"/>
        <w:rPr>
          <w:sz w:val="24"/>
          <w:szCs w:val="24"/>
        </w:rPr>
      </w:pPr>
      <w:r>
        <w:rPr>
          <w:sz w:val="24"/>
          <w:szCs w:val="24"/>
        </w:rPr>
        <w:t>Vést v účetnictví oddělenou účetní evidenci uznaných nákladů a poskytnuté podpory projektu financovaných z prostředků určených k řešení projektu a v případě daňové evidence oddělenou evidenci příjmů a nákladů projektu, tuto evidenci uchovávat po dobu 10-ti let od ukončení řešení projektu.</w:t>
      </w:r>
    </w:p>
    <w:p w14:paraId="04764AA2" w14:textId="77777777" w:rsidR="00B8590C" w:rsidRDefault="007845BE">
      <w:pPr>
        <w:numPr>
          <w:ilvl w:val="0"/>
          <w:numId w:val="1"/>
        </w:numPr>
        <w:tabs>
          <w:tab w:val="left" w:pos="1418"/>
        </w:tabs>
        <w:spacing w:before="60"/>
        <w:ind w:left="1418" w:hanging="709"/>
        <w:jc w:val="both"/>
        <w:rPr>
          <w:sz w:val="24"/>
          <w:szCs w:val="24"/>
        </w:rPr>
      </w:pPr>
      <w:r>
        <w:rPr>
          <w:sz w:val="24"/>
          <w:szCs w:val="24"/>
        </w:rPr>
        <w:t>Svou činností při řešení projektu dosahovat výsledků ve lhůtách uvedených v Závazných parametrech řešení projektu.</w:t>
      </w:r>
    </w:p>
    <w:p w14:paraId="4919D2D0" w14:textId="77777777" w:rsidR="00B8590C" w:rsidRDefault="007845BE">
      <w:pPr>
        <w:numPr>
          <w:ilvl w:val="0"/>
          <w:numId w:val="1"/>
        </w:numPr>
        <w:tabs>
          <w:tab w:val="left" w:pos="1418"/>
        </w:tabs>
        <w:spacing w:before="60"/>
        <w:ind w:left="1418" w:hanging="709"/>
        <w:jc w:val="both"/>
        <w:rPr>
          <w:sz w:val="24"/>
          <w:szCs w:val="24"/>
        </w:rPr>
      </w:pPr>
      <w:r>
        <w:rPr>
          <w:sz w:val="24"/>
          <w:szCs w:val="24"/>
        </w:rP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7EB9449C" w14:textId="77777777" w:rsidR="00B8590C" w:rsidRDefault="007845BE">
      <w:pPr>
        <w:numPr>
          <w:ilvl w:val="0"/>
          <w:numId w:val="1"/>
        </w:numPr>
        <w:tabs>
          <w:tab w:val="left" w:pos="1418"/>
        </w:tabs>
        <w:spacing w:before="60"/>
        <w:ind w:left="1418" w:hanging="709"/>
        <w:jc w:val="both"/>
        <w:rPr>
          <w:sz w:val="24"/>
          <w:szCs w:val="24"/>
        </w:rPr>
      </w:pPr>
      <w:r>
        <w:rPr>
          <w:sz w:val="24"/>
          <w:szCs w:val="24"/>
        </w:rPr>
        <w:t>V případě, že další účastník projektu překročí stanovenou míru účelové podpory, je prostřednictvím příjemce povinen vrátit na bankovní účet poskytovatele tu část poskytnuté účelové podpory, o kterou byl překročen stanovený poměr financování, a to v souladu se Smlouvou o poskytnutí podpory zejména s čl. 4 odst. 2.</w:t>
      </w:r>
    </w:p>
    <w:p w14:paraId="248A06B7" w14:textId="77777777" w:rsidR="00B8590C" w:rsidRDefault="007845BE">
      <w:pPr>
        <w:numPr>
          <w:ilvl w:val="0"/>
          <w:numId w:val="1"/>
        </w:numPr>
        <w:tabs>
          <w:tab w:val="left" w:pos="1418"/>
        </w:tabs>
        <w:spacing w:before="60"/>
        <w:ind w:left="1418" w:hanging="709"/>
        <w:jc w:val="both"/>
        <w:rPr>
          <w:sz w:val="24"/>
          <w:szCs w:val="24"/>
        </w:rPr>
      </w:pPr>
      <w:r>
        <w:rPr>
          <w:sz w:val="24"/>
          <w:szCs w:val="24"/>
        </w:rPr>
        <w:t>Vrátit poskytovateli prostřednictvím příjemce na jeho běžný výdajový účet část podpory, kterou v daném kalendářním roce nevyužije, a to v souladu s čl. 4 odst. 2 Smlouvy o poskytnutí podpory.</w:t>
      </w:r>
    </w:p>
    <w:p w14:paraId="5E305FA3" w14:textId="77777777" w:rsidR="00B8590C" w:rsidRDefault="007845BE">
      <w:pPr>
        <w:numPr>
          <w:ilvl w:val="0"/>
          <w:numId w:val="1"/>
        </w:numPr>
        <w:tabs>
          <w:tab w:val="left" w:pos="1418"/>
        </w:tabs>
        <w:spacing w:before="60"/>
        <w:ind w:left="1418" w:hanging="709"/>
        <w:jc w:val="both"/>
        <w:rPr>
          <w:sz w:val="24"/>
          <w:szCs w:val="24"/>
        </w:rPr>
      </w:pPr>
      <w:r>
        <w:rPr>
          <w:sz w:val="24"/>
          <w:szCs w:val="24"/>
        </w:rPr>
        <w:t>Předložit příjemci nejpozději do dne 15. 1. následujícího kalendářního roku, ve kterém trvá řešení projektu, písemnou roční zprávu o realizaci části projektu v průběhu daného roku a do 15. 1. následujícího roku musí příjemci předložit podrobné vyúčtování hospodaření s poskytnutými účelovými finančními prostředky.</w:t>
      </w:r>
    </w:p>
    <w:p w14:paraId="00D1E329" w14:textId="77777777" w:rsidR="00B8590C" w:rsidRDefault="007845BE">
      <w:pPr>
        <w:numPr>
          <w:ilvl w:val="0"/>
          <w:numId w:val="1"/>
        </w:numPr>
        <w:tabs>
          <w:tab w:val="left" w:pos="1418"/>
        </w:tabs>
        <w:spacing w:before="60"/>
        <w:ind w:left="1418" w:hanging="709"/>
        <w:jc w:val="both"/>
        <w:rPr>
          <w:sz w:val="24"/>
          <w:szCs w:val="24"/>
        </w:rPr>
      </w:pPr>
      <w:r>
        <w:rPr>
          <w:sz w:val="24"/>
          <w:szCs w:val="24"/>
        </w:rPr>
        <w:t>V souladu s čl. 9 Všeobecných podmínek vyčíslit a odvést poskytovateli prostřednictvím příjemce veškeré příjmy z projektu a nezamezovat jejich získávání.</w:t>
      </w:r>
    </w:p>
    <w:p w14:paraId="0F044170" w14:textId="77777777" w:rsidR="00B8590C" w:rsidRDefault="007845BE">
      <w:pPr>
        <w:numPr>
          <w:ilvl w:val="0"/>
          <w:numId w:val="1"/>
        </w:numPr>
        <w:tabs>
          <w:tab w:val="left" w:pos="1418"/>
        </w:tabs>
        <w:spacing w:before="60"/>
        <w:ind w:left="1418" w:hanging="709"/>
        <w:jc w:val="both"/>
        <w:rPr>
          <w:sz w:val="24"/>
          <w:szCs w:val="24"/>
        </w:rPr>
      </w:pPr>
      <w:r>
        <w:rPr>
          <w:sz w:val="24"/>
          <w:szCs w:val="24"/>
        </w:rPr>
        <w:t>Písemně informovat příjemce o veškerých změnách, týkajících se jeho osoby, o změnách veškerých skutečností uvedených v Závazných parametrech řešení projektu, a dále o jakýchkoliv dalších změnách a skutečnostech, které by mohly mít vliv na řešení a cíle projektu nebo změnu údajů zveřejňovaných v IS VaVaI a o tom, že přestal splňovat podmínky způsobilosti, které nastaly v době ode dne nabytí účinnosti Smlouvy.</w:t>
      </w:r>
    </w:p>
    <w:p w14:paraId="314F193E" w14:textId="77777777" w:rsidR="00B8590C" w:rsidRDefault="007845BE">
      <w:pPr>
        <w:numPr>
          <w:ilvl w:val="0"/>
          <w:numId w:val="1"/>
        </w:numPr>
        <w:tabs>
          <w:tab w:val="left" w:pos="1418"/>
        </w:tabs>
        <w:spacing w:before="60"/>
        <w:ind w:left="1418" w:hanging="709"/>
        <w:jc w:val="both"/>
        <w:rPr>
          <w:sz w:val="24"/>
          <w:szCs w:val="24"/>
        </w:rPr>
      </w:pPr>
      <w:r>
        <w:rPr>
          <w:sz w:val="24"/>
          <w:szCs w:val="24"/>
        </w:rPr>
        <w:t xml:space="preserve">Poskytovat veškerou součinnost v souvislosti s průběhem hodnotících a kontrolních procesů, poskytovat na žádost hlavního příjemce jakékoliv informace týkající se </w:t>
      </w:r>
      <w:r>
        <w:rPr>
          <w:sz w:val="24"/>
          <w:szCs w:val="24"/>
        </w:rPr>
        <w:lastRenderedPageBreak/>
        <w:t>průběhu řešení projektu, jeho výsledků, a průběhu realizace implementačního plánu a poskytovat hlavnímu příjemci a poskytovateli veškeré potřebné informace za účelem zveřejňování v IS VaVaI, a to vše ve lhůtách stanovených jednotlivými hodnotícími procesy, zákonných lhůtách, nebo lhůtách uvedených v žádostech poskytovatele.</w:t>
      </w:r>
    </w:p>
    <w:p w14:paraId="42881D4D" w14:textId="77777777" w:rsidR="00B8590C" w:rsidRDefault="007845BE">
      <w:pPr>
        <w:numPr>
          <w:ilvl w:val="0"/>
          <w:numId w:val="1"/>
        </w:numPr>
        <w:tabs>
          <w:tab w:val="left" w:pos="1418"/>
        </w:tabs>
        <w:spacing w:before="60"/>
        <w:ind w:left="1418" w:hanging="709"/>
        <w:jc w:val="both"/>
        <w:rPr>
          <w:sz w:val="24"/>
          <w:szCs w:val="24"/>
        </w:rPr>
      </w:pPr>
      <w:r>
        <w:rPr>
          <w:sz w:val="24"/>
          <w:szCs w:val="24"/>
        </w:rPr>
        <w:t>Prokázat na výzvu poskytovatele, že splňuje povinnosti stanovené pravidly poskytnutí podpory, a to ve lhůtě uvedené v této výzvě.</w:t>
      </w:r>
    </w:p>
    <w:p w14:paraId="7AD8F6E3" w14:textId="77777777" w:rsidR="00B8590C" w:rsidRDefault="007845BE">
      <w:pPr>
        <w:numPr>
          <w:ilvl w:val="0"/>
          <w:numId w:val="1"/>
        </w:numPr>
        <w:tabs>
          <w:tab w:val="left" w:pos="1418"/>
        </w:tabs>
        <w:spacing w:before="60"/>
        <w:ind w:left="1418" w:hanging="709"/>
        <w:jc w:val="both"/>
        <w:rPr>
          <w:sz w:val="24"/>
          <w:szCs w:val="24"/>
        </w:rPr>
      </w:pPr>
      <w:r>
        <w:rPr>
          <w:sz w:val="24"/>
          <w:szCs w:val="24"/>
        </w:rPr>
        <w:t>Další účastník je povinen přijmout opatření k odstranění nedostatků zjištěných při veřejnosprávní kontrole bez zbytečného odkladu, nejpozději však ve lhůtě stanovené kontrolním orgánem, a o přijatých opatřeních informovat řešitele a poskytovatele, přičemž si poskytovatel vyhrazuje právo prověřit u příjemce plnění uložených opatření k nápravě.</w:t>
      </w:r>
    </w:p>
    <w:p w14:paraId="708457CD" w14:textId="77777777" w:rsidR="00B8590C" w:rsidRDefault="007845BE">
      <w:pPr>
        <w:numPr>
          <w:ilvl w:val="0"/>
          <w:numId w:val="1"/>
        </w:numPr>
        <w:tabs>
          <w:tab w:val="left" w:pos="1418"/>
        </w:tabs>
        <w:spacing w:before="60"/>
        <w:ind w:left="1418" w:hanging="709"/>
        <w:jc w:val="both"/>
        <w:rPr>
          <w:sz w:val="24"/>
          <w:szCs w:val="24"/>
        </w:rPr>
      </w:pPr>
      <w:r>
        <w:rPr>
          <w:sz w:val="24"/>
          <w:szCs w:val="24"/>
        </w:rP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20293EB3" w14:textId="77777777" w:rsidR="00B8590C" w:rsidRDefault="007845BE">
      <w:pPr>
        <w:numPr>
          <w:ilvl w:val="0"/>
          <w:numId w:val="1"/>
        </w:numPr>
        <w:tabs>
          <w:tab w:val="left" w:pos="1418"/>
        </w:tabs>
        <w:spacing w:before="60"/>
        <w:ind w:left="1418" w:hanging="709"/>
        <w:jc w:val="both"/>
        <w:rPr>
          <w:sz w:val="24"/>
          <w:szCs w:val="24"/>
        </w:rPr>
      </w:pPr>
      <w:r>
        <w:rPr>
          <w:sz w:val="24"/>
          <w:szCs w:val="24"/>
        </w:rPr>
        <w:t xml:space="preserve">Zajistit si smluvně s nositeli chráněných práv duševního vlastnictví vzniklých v souvislosti s realizací části projektu možnost volného nakládání s těmito právy. </w:t>
      </w:r>
    </w:p>
    <w:p w14:paraId="695709CE" w14:textId="77777777" w:rsidR="00B8590C" w:rsidRDefault="007845BE">
      <w:pPr>
        <w:numPr>
          <w:ilvl w:val="0"/>
          <w:numId w:val="1"/>
        </w:numPr>
        <w:tabs>
          <w:tab w:val="left" w:pos="1418"/>
        </w:tabs>
        <w:spacing w:before="60"/>
        <w:ind w:left="1418" w:hanging="709"/>
        <w:jc w:val="both"/>
        <w:rPr>
          <w:sz w:val="24"/>
          <w:szCs w:val="24"/>
        </w:rPr>
      </w:pPr>
      <w:r>
        <w:rPr>
          <w:sz w:val="24"/>
          <w:szCs w:val="24"/>
        </w:rPr>
        <w:t>Při prezentaci informací o řešeném projektu s podporou TA ČR či o jeho výsledcích v hromadných sdělovacích prostředcích či jiným způsobem, informovat přiměřeným způsobem o tom, že projekt byl realizován za finanční spoluúčasti TA ČR, a to na všech propagačních materiálech i ve všech typech médií, které se k projektu či jeho výsledkům a výstupům vztahují.</w:t>
      </w:r>
    </w:p>
    <w:p w14:paraId="4B200731" w14:textId="77777777" w:rsidR="00B8590C" w:rsidRDefault="007845BE">
      <w:pPr>
        <w:numPr>
          <w:ilvl w:val="0"/>
          <w:numId w:val="1"/>
        </w:numPr>
        <w:tabs>
          <w:tab w:val="left" w:pos="1418"/>
        </w:tabs>
        <w:spacing w:before="60"/>
        <w:ind w:left="1418" w:hanging="709"/>
        <w:jc w:val="both"/>
        <w:rPr>
          <w:sz w:val="24"/>
          <w:szCs w:val="24"/>
        </w:rPr>
      </w:pPr>
      <w:r>
        <w:rPr>
          <w:sz w:val="24"/>
          <w:szCs w:val="24"/>
        </w:rPr>
        <w:t xml:space="preserve">Spolupracovat na předkládání úplných zpráv a dalších relevantních informacích v souladu se Smlouvou o poskytnutí podpory a příslušnými kontrolními procesy, které se týkají jak řešení projektu, tak plnění implementačního plánu a 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 </w:t>
      </w:r>
    </w:p>
    <w:p w14:paraId="26C0B719" w14:textId="77777777" w:rsidR="00B8590C" w:rsidRDefault="007845BE">
      <w:pPr>
        <w:numPr>
          <w:ilvl w:val="0"/>
          <w:numId w:val="9"/>
        </w:numPr>
        <w:spacing w:before="120"/>
        <w:jc w:val="both"/>
        <w:rPr>
          <w:sz w:val="24"/>
        </w:rPr>
      </w:pPr>
      <w:r>
        <w:rPr>
          <w:sz w:val="24"/>
        </w:rPr>
        <w:t>Přílohou č. 1 této smlouvy je Smlouva o poskytnutí podpory včetně jejích příloh uzavřená mezi příjemcem a poskytovatelem dotace. Povinností příjemce týkající se čerpání a používání účelové podpory vyplývající z této smlouvy a jejích příloh je povinen dodržovat i další účastník, pokud v této smlouvě o účasti na řešení projektu není uvedeno jinak.</w:t>
      </w:r>
    </w:p>
    <w:p w14:paraId="4A3CFAD2" w14:textId="77777777" w:rsidR="00B8590C" w:rsidRDefault="007845BE">
      <w:pPr>
        <w:pStyle w:val="Nadpis2"/>
        <w:spacing w:before="240" w:after="60"/>
        <w:rPr>
          <w:rFonts w:ascii="Times New Roman" w:hAnsi="Times New Roman"/>
        </w:rPr>
      </w:pPr>
      <w:r>
        <w:rPr>
          <w:rFonts w:ascii="Times New Roman" w:hAnsi="Times New Roman"/>
        </w:rPr>
        <w:t>Článek 7.</w:t>
      </w:r>
    </w:p>
    <w:p w14:paraId="206F21BC" w14:textId="77777777" w:rsidR="00B8590C" w:rsidRDefault="007845BE">
      <w:pPr>
        <w:pStyle w:val="Nadpis2"/>
        <w:rPr>
          <w:rFonts w:ascii="Times New Roman" w:hAnsi="Times New Roman"/>
        </w:rPr>
      </w:pPr>
      <w:r>
        <w:rPr>
          <w:rFonts w:ascii="Times New Roman" w:hAnsi="Times New Roman"/>
        </w:rPr>
        <w:t>Práva k hmotnému majetku</w:t>
      </w:r>
    </w:p>
    <w:p w14:paraId="626DDBCC" w14:textId="77777777" w:rsidR="00B8590C" w:rsidRDefault="007845BE">
      <w:pPr>
        <w:numPr>
          <w:ilvl w:val="0"/>
          <w:numId w:val="6"/>
        </w:numPr>
        <w:spacing w:before="120"/>
        <w:jc w:val="both"/>
        <w:rPr>
          <w:sz w:val="24"/>
        </w:rPr>
      </w:pPr>
      <w:r>
        <w:rPr>
          <w:sz w:val="24"/>
        </w:rPr>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dalšími účastníky společně, je jejich podíl na vlastnictví tohoto majetku stejný, nedohodnou-li se jinak. </w:t>
      </w:r>
    </w:p>
    <w:p w14:paraId="2B960B49" w14:textId="77777777" w:rsidR="00B8590C" w:rsidRDefault="007845BE">
      <w:pPr>
        <w:numPr>
          <w:ilvl w:val="0"/>
          <w:numId w:val="6"/>
        </w:numPr>
        <w:spacing w:before="120"/>
        <w:jc w:val="both"/>
        <w:rPr>
          <w:sz w:val="24"/>
        </w:rPr>
      </w:pPr>
      <w:r>
        <w:rPr>
          <w:sz w:val="24"/>
          <w:szCs w:val="24"/>
        </w:rPr>
        <w:t>Příjemce i další účastník jsou povinni nakládat s veškerým majetkem s péčí řádného hospodáře, zejména jej zabezpečit proti poškození, ztrátě nebo odcizení.</w:t>
      </w:r>
    </w:p>
    <w:p w14:paraId="363BB1C2" w14:textId="77777777" w:rsidR="00B8590C" w:rsidRDefault="007845BE">
      <w:pPr>
        <w:numPr>
          <w:ilvl w:val="0"/>
          <w:numId w:val="6"/>
        </w:numPr>
        <w:spacing w:before="120"/>
        <w:jc w:val="both"/>
        <w:rPr>
          <w:sz w:val="24"/>
        </w:rPr>
      </w:pPr>
      <w:r>
        <w:rPr>
          <w:sz w:val="24"/>
        </w:rPr>
        <w:t xml:space="preserve">Smluvní strany se zavazují zpřístupnit si vzájemně zařízení potřebná k řešení projektu. </w:t>
      </w:r>
    </w:p>
    <w:p w14:paraId="2B1F28D5" w14:textId="77777777" w:rsidR="00B8590C" w:rsidRDefault="007845BE">
      <w:pPr>
        <w:pStyle w:val="Nadpis2"/>
        <w:spacing w:before="240" w:after="60"/>
        <w:rPr>
          <w:rFonts w:ascii="Times New Roman" w:hAnsi="Times New Roman"/>
        </w:rPr>
      </w:pPr>
      <w:r>
        <w:rPr>
          <w:rFonts w:ascii="Times New Roman" w:hAnsi="Times New Roman"/>
        </w:rPr>
        <w:t>Článek 8.</w:t>
      </w:r>
    </w:p>
    <w:p w14:paraId="656E468C" w14:textId="77777777" w:rsidR="00B8590C" w:rsidRDefault="007845BE">
      <w:pPr>
        <w:pStyle w:val="Nadpis2"/>
        <w:rPr>
          <w:rFonts w:ascii="Times New Roman" w:hAnsi="Times New Roman"/>
        </w:rPr>
      </w:pPr>
      <w:r>
        <w:rPr>
          <w:rFonts w:ascii="Times New Roman" w:hAnsi="Times New Roman"/>
        </w:rPr>
        <w:t>Ochrana duševního vlastnictví. Práva k výsledkům a využití výsledků.</w:t>
      </w:r>
    </w:p>
    <w:p w14:paraId="52955A86" w14:textId="77777777" w:rsidR="00B8590C" w:rsidRDefault="007845BE">
      <w:pPr>
        <w:numPr>
          <w:ilvl w:val="1"/>
          <w:numId w:val="10"/>
        </w:numPr>
        <w:spacing w:before="120"/>
        <w:ind w:left="709" w:hanging="709"/>
        <w:jc w:val="both"/>
        <w:rPr>
          <w:sz w:val="24"/>
          <w:szCs w:val="24"/>
        </w:rPr>
      </w:pPr>
      <w:r>
        <w:rPr>
          <w:sz w:val="24"/>
          <w:szCs w:val="24"/>
          <w:u w:val="single"/>
        </w:rPr>
        <w:t>Duševní vlastnictví vkládané do projektu</w:t>
      </w:r>
      <w:r>
        <w:rPr>
          <w:sz w:val="24"/>
          <w:szCs w:val="24"/>
        </w:rPr>
        <w:t>:</w:t>
      </w:r>
    </w:p>
    <w:p w14:paraId="46BEB593" w14:textId="77777777" w:rsidR="00B8590C" w:rsidRDefault="007845BE">
      <w:pPr>
        <w:numPr>
          <w:ilvl w:val="2"/>
          <w:numId w:val="10"/>
        </w:numPr>
        <w:spacing w:before="120"/>
        <w:ind w:left="1418"/>
        <w:jc w:val="both"/>
        <w:rPr>
          <w:sz w:val="24"/>
          <w:szCs w:val="24"/>
        </w:rPr>
      </w:pPr>
      <w:r>
        <w:rPr>
          <w:sz w:val="24"/>
          <w:szCs w:val="24"/>
        </w:rPr>
        <w:lastRenderedPageBreak/>
        <w:t>Partneři vstupují do projektu s dovednostmi, know-how a jinými právy duševního vlastnictví, které jsou potřebné pro realizaci projektu (vkládané znalosti). Vkládané duševní vlastnictví zůstává vlastnictvím partnera, který je do projektu vložil.</w:t>
      </w:r>
    </w:p>
    <w:p w14:paraId="1D489BA6" w14:textId="77777777" w:rsidR="00B8590C" w:rsidRDefault="007845BE">
      <w:pPr>
        <w:numPr>
          <w:ilvl w:val="2"/>
          <w:numId w:val="10"/>
        </w:numPr>
        <w:spacing w:before="120"/>
        <w:ind w:left="1418"/>
        <w:jc w:val="both"/>
        <w:rPr>
          <w:sz w:val="24"/>
          <w:szCs w:val="24"/>
        </w:rPr>
      </w:pPr>
      <w:r>
        <w:rPr>
          <w:sz w:val="24"/>
          <w:szCs w:val="24"/>
        </w:rPr>
        <w:t>Partneři se dohodli, že po dobu realizace projektu si navzájem poskytují právo k užívání svého duševního vlastnictví (zejména průmyslových práv, know-how a pracovních postupů), které se přímo vztahují k realizaci projektu, a to v rozsahu nezbytném k realizaci projektu.</w:t>
      </w:r>
    </w:p>
    <w:p w14:paraId="05880194" w14:textId="77777777" w:rsidR="00B8590C" w:rsidRDefault="007845BE">
      <w:pPr>
        <w:numPr>
          <w:ilvl w:val="2"/>
          <w:numId w:val="10"/>
        </w:numPr>
        <w:spacing w:before="120"/>
        <w:ind w:left="1418"/>
        <w:jc w:val="both"/>
        <w:rPr>
          <w:sz w:val="24"/>
          <w:szCs w:val="24"/>
        </w:rPr>
      </w:pPr>
      <w:r>
        <w:rPr>
          <w:sz w:val="24"/>
          <w:szCs w:val="24"/>
        </w:rPr>
        <w:t>Partneři mají právo na nevýlučnou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4DB14F2D" w14:textId="77777777" w:rsidR="00B8590C" w:rsidRDefault="007845BE">
      <w:pPr>
        <w:numPr>
          <w:ilvl w:val="2"/>
          <w:numId w:val="10"/>
        </w:numPr>
        <w:spacing w:before="120"/>
        <w:ind w:left="1418"/>
        <w:jc w:val="both"/>
        <w:rPr>
          <w:sz w:val="24"/>
          <w:szCs w:val="24"/>
        </w:rPr>
      </w:pPr>
      <w:r>
        <w:rPr>
          <w:sz w:val="24"/>
          <w:szCs w:val="24"/>
        </w:rPr>
        <w:t>Partneři nejsou oprávněni užít vkládané duševní vlastnictví k jinému účelu a jiným způsobem, pokud si předem písemně nesjednají jinak.</w:t>
      </w:r>
    </w:p>
    <w:p w14:paraId="263744F8" w14:textId="77777777" w:rsidR="00B8590C" w:rsidRDefault="007845BE">
      <w:pPr>
        <w:numPr>
          <w:ilvl w:val="1"/>
          <w:numId w:val="10"/>
        </w:numPr>
        <w:spacing w:before="120"/>
        <w:ind w:left="709" w:hanging="709"/>
        <w:jc w:val="both"/>
        <w:rPr>
          <w:sz w:val="24"/>
          <w:szCs w:val="24"/>
          <w:u w:val="single"/>
        </w:rPr>
      </w:pPr>
      <w:r>
        <w:rPr>
          <w:sz w:val="24"/>
          <w:szCs w:val="24"/>
          <w:u w:val="single"/>
        </w:rPr>
        <w:t>Práva k výsledkům:</w:t>
      </w:r>
    </w:p>
    <w:p w14:paraId="315DACD8" w14:textId="77777777" w:rsidR="00B8590C" w:rsidRDefault="007845BE">
      <w:pPr>
        <w:numPr>
          <w:ilvl w:val="2"/>
          <w:numId w:val="10"/>
        </w:numPr>
        <w:spacing w:before="120"/>
        <w:ind w:left="1418"/>
        <w:jc w:val="both"/>
        <w:rPr>
          <w:sz w:val="24"/>
          <w:szCs w:val="24"/>
        </w:rPr>
      </w:pPr>
      <w:r>
        <w:rPr>
          <w:sz w:val="24"/>
        </w:rPr>
        <w:t>Výsledky projektu, kterých bude v rámci projektu dosaženo pouze jednou smluvní stranou, budou zcela ve vlastnictví strany, která tyto výsledky vyvinula.</w:t>
      </w:r>
    </w:p>
    <w:p w14:paraId="71BCB0A2" w14:textId="77777777" w:rsidR="00B8590C" w:rsidRDefault="007845BE">
      <w:pPr>
        <w:numPr>
          <w:ilvl w:val="2"/>
          <w:numId w:val="10"/>
        </w:numPr>
        <w:spacing w:before="120"/>
        <w:ind w:left="1418"/>
        <w:jc w:val="both"/>
        <w:rPr>
          <w:sz w:val="24"/>
          <w:szCs w:val="24"/>
        </w:rPr>
      </w:pPr>
      <w:r>
        <w:rPr>
          <w:sz w:val="24"/>
          <w:szCs w:val="24"/>
        </w:rPr>
        <w:t>Výsledky projektu, které budou dosaženy v rámci projektu smluvními stranami společně, budou ve společném vlastnictví smluvních stran. Při stanovení spoluvlastnického poměru smluvních stran výsledkům projektu se úměrně přihlíží k poměru nákladů jednotlivých stran tak, aby nedocházelo k zakázané nepřímé státní podpoře.</w:t>
      </w:r>
    </w:p>
    <w:p w14:paraId="6ED132B5" w14:textId="77777777" w:rsidR="00B8590C" w:rsidRDefault="007845BE">
      <w:pPr>
        <w:numPr>
          <w:ilvl w:val="2"/>
          <w:numId w:val="10"/>
        </w:numPr>
        <w:spacing w:before="120"/>
        <w:ind w:left="1418"/>
        <w:jc w:val="both"/>
        <w:rPr>
          <w:sz w:val="24"/>
          <w:szCs w:val="24"/>
        </w:rPr>
      </w:pPr>
      <w:r>
        <w:rPr>
          <w:sz w:val="24"/>
          <w:szCs w:val="24"/>
        </w:rPr>
        <w:t>Práva autorů a původců výsledků nejsou ustanoveními předchozích odstavců dotčena. K</w:t>
      </w:r>
      <w:r>
        <w:rPr>
          <w:sz w:val="24"/>
        </w:rPr>
        <w:t>aždý z partnerů je odpovědný za vypořádání nároků autorů a původců na své straně.</w:t>
      </w:r>
    </w:p>
    <w:p w14:paraId="6A932D55" w14:textId="77777777" w:rsidR="00B8590C" w:rsidRDefault="007845BE">
      <w:pPr>
        <w:numPr>
          <w:ilvl w:val="2"/>
          <w:numId w:val="10"/>
        </w:numPr>
        <w:spacing w:before="120"/>
        <w:ind w:left="1418"/>
        <w:jc w:val="both"/>
        <w:rPr>
          <w:sz w:val="24"/>
          <w:szCs w:val="24"/>
        </w:rPr>
      </w:pPr>
      <w:r>
        <w:rPr>
          <w:sz w:val="24"/>
          <w:szCs w:val="24"/>
        </w:rPr>
        <w:t>Předpokládané výsledky projektu a jejich předpokládaný spoluvlastnický poměr je uveden ve schváleném návrhu projektu.</w:t>
      </w:r>
    </w:p>
    <w:p w14:paraId="2B3EFF28" w14:textId="77777777" w:rsidR="00B8590C" w:rsidRDefault="007845BE">
      <w:pPr>
        <w:numPr>
          <w:ilvl w:val="1"/>
          <w:numId w:val="10"/>
        </w:numPr>
        <w:spacing w:before="120"/>
        <w:ind w:left="709" w:hanging="709"/>
        <w:jc w:val="both"/>
        <w:rPr>
          <w:sz w:val="24"/>
          <w:szCs w:val="24"/>
        </w:rPr>
      </w:pPr>
      <w:r>
        <w:rPr>
          <w:sz w:val="24"/>
          <w:szCs w:val="24"/>
          <w:u w:val="single"/>
        </w:rPr>
        <w:t>Využití výsledků</w:t>
      </w:r>
      <w:r>
        <w:rPr>
          <w:sz w:val="24"/>
          <w:szCs w:val="24"/>
        </w:rPr>
        <w:t>:</w:t>
      </w:r>
    </w:p>
    <w:p w14:paraId="2ACF5CE0" w14:textId="77777777" w:rsidR="00B8590C" w:rsidRDefault="007845BE">
      <w:pPr>
        <w:numPr>
          <w:ilvl w:val="2"/>
          <w:numId w:val="10"/>
        </w:numPr>
        <w:spacing w:before="120"/>
        <w:ind w:left="1418"/>
        <w:jc w:val="both"/>
        <w:rPr>
          <w:sz w:val="24"/>
        </w:rPr>
      </w:pPr>
      <w:r>
        <w:rPr>
          <w:sz w:val="24"/>
        </w:rPr>
        <w:t>Smluvní strana je oprávněna k nevýhradnímu užití výsledků ve vlastnictví druhé smluvní strany, pokud jsou nezbytné pro užívání výsledků projektu vlastněných touto smluvní stranou. Pro ostatní účely je smluvní strana oprávněna získat nevýhradní licenci za obvyklých tržních podmínek.</w:t>
      </w:r>
    </w:p>
    <w:p w14:paraId="702AD1D1" w14:textId="77777777" w:rsidR="00B8590C" w:rsidRDefault="007845BE">
      <w:pPr>
        <w:numPr>
          <w:ilvl w:val="2"/>
          <w:numId w:val="10"/>
        </w:numPr>
        <w:spacing w:before="120"/>
        <w:ind w:left="1418"/>
        <w:jc w:val="both"/>
        <w:rPr>
          <w:sz w:val="24"/>
        </w:rPr>
      </w:pPr>
      <w:r>
        <w:rPr>
          <w:sz w:val="24"/>
        </w:rPr>
        <w:t>Výsledky ve společném vlastnictví smluvních stran je oprávněna samostatně užívat každá smluvní strana. Pro poskytnutí licence nebo podlicence třetí osobě je nutno souhlasu všech smluvních stran. Výnosy plynoucí z využívání společně vlastněných výsledků budou rozděleny podle dohody smluvních stran, která zohlední zejména tvůrčí přínos jednotlivých smluvních stran, množství vynaložené pracovní kapacity a výši vkladů jednotlivých smluvních stran na realizaci projektu. Pokud nedojde k dohodě, rozdělí se výnosy podle poměru spoluvlastnických podílů.</w:t>
      </w:r>
    </w:p>
    <w:p w14:paraId="35C033F7" w14:textId="77777777" w:rsidR="00B8590C" w:rsidRDefault="007845BE">
      <w:pPr>
        <w:numPr>
          <w:ilvl w:val="1"/>
          <w:numId w:val="10"/>
        </w:numPr>
        <w:spacing w:before="120"/>
        <w:ind w:left="709" w:hanging="709"/>
        <w:jc w:val="both"/>
        <w:rPr>
          <w:sz w:val="24"/>
          <w:szCs w:val="24"/>
        </w:rPr>
      </w:pPr>
      <w:r>
        <w:rPr>
          <w:sz w:val="24"/>
          <w:szCs w:val="24"/>
          <w:u w:val="single"/>
        </w:rPr>
        <w:t>Ochrana duševního vlastnictví</w:t>
      </w:r>
      <w:r>
        <w:rPr>
          <w:sz w:val="24"/>
          <w:szCs w:val="24"/>
        </w:rPr>
        <w:t>:</w:t>
      </w:r>
    </w:p>
    <w:p w14:paraId="29965A15" w14:textId="77777777" w:rsidR="00B8590C" w:rsidRDefault="007845BE">
      <w:pPr>
        <w:numPr>
          <w:ilvl w:val="2"/>
          <w:numId w:val="10"/>
        </w:numPr>
        <w:spacing w:before="120"/>
        <w:ind w:left="1418"/>
        <w:jc w:val="both"/>
        <w:rPr>
          <w:sz w:val="24"/>
        </w:rPr>
      </w:pPr>
      <w:r>
        <w:rPr>
          <w:sz w:val="24"/>
        </w:rPr>
        <w:t>Smluvní strany ujednávají pro případ, že jakékoli řešení anebo výsledek anebo výrobně-technický poznatek anebo zkušenost v souvislosti s touto smlouvou, či jeho (jejich) část, bude pro splnění příslušných zákonných podmínek způsobilé k ochraně zejména jako vynález nebo užitný vzor, průmyslový vzor, ochranná známka, podá oprávněná strana za účelem jeho registrace přihlášku u Úřadu průmyslového vlastnictví v Praze (případně u jiné národní nebo mezinárodní svou povahou obdobné instituce).</w:t>
      </w:r>
    </w:p>
    <w:p w14:paraId="080A98D2" w14:textId="77777777" w:rsidR="00B8590C" w:rsidRDefault="007845BE">
      <w:pPr>
        <w:numPr>
          <w:ilvl w:val="2"/>
          <w:numId w:val="10"/>
        </w:numPr>
        <w:spacing w:before="120"/>
        <w:ind w:left="1418"/>
        <w:jc w:val="both"/>
        <w:rPr>
          <w:sz w:val="24"/>
        </w:rPr>
      </w:pPr>
      <w:r>
        <w:rPr>
          <w:sz w:val="24"/>
        </w:rPr>
        <w:t xml:space="preserve">Stranou oprávněnou podat přihlášku podle předchozího odstavce je strana, která je vlastníkem daného výsledku. Pokud výsledek vlastní smluvní strany společně, podají přihlášku společně a to tak, aby se smluvní strany staly spolumajiteli (spoluvlastníky) </w:t>
      </w:r>
      <w:r>
        <w:rPr>
          <w:sz w:val="24"/>
        </w:rPr>
        <w:lastRenderedPageBreak/>
        <w:t xml:space="preserve">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ve stejném poměru, v jakém se podílejí na výnosech z využití daného výsledku. K převodu předmětu práv průmyslového vlastnictví, zejména převodu patentu anebo užitného vzoru, k nabídce licence či k uzavření licenční smlouvy s třetí osobou bude vždy zapotřebí písemného souhlasu obou stran této smlouvy. Každá ze smluvních stran je oprávněna samostatně uplatňovat nároky z prokazatelných porušení práv k předmětu (předmětům) průmyslového vlastnictví. </w:t>
      </w:r>
    </w:p>
    <w:p w14:paraId="199564D1" w14:textId="77777777" w:rsidR="00B8590C" w:rsidRDefault="007845BE">
      <w:pPr>
        <w:numPr>
          <w:ilvl w:val="1"/>
          <w:numId w:val="10"/>
        </w:numPr>
        <w:spacing w:before="120"/>
        <w:ind w:left="709" w:hanging="709"/>
        <w:jc w:val="both"/>
        <w:rPr>
          <w:sz w:val="24"/>
          <w:szCs w:val="24"/>
        </w:rPr>
      </w:pPr>
      <w:r>
        <w:rPr>
          <w:sz w:val="24"/>
          <w:szCs w:val="24"/>
        </w:rPr>
        <w:t>Ustanovení předchozích odstavců nebrání tomu, aby smluvní strany po vzájemné dohodě upravily vlastnická a užívací práva k výsledkům projektu v jednotlivých případech odlišně.</w:t>
      </w:r>
    </w:p>
    <w:p w14:paraId="13496611" w14:textId="77777777" w:rsidR="00B8590C" w:rsidRDefault="007845BE">
      <w:pPr>
        <w:numPr>
          <w:ilvl w:val="1"/>
          <w:numId w:val="10"/>
        </w:numPr>
        <w:spacing w:before="120"/>
        <w:ind w:left="709" w:hanging="709"/>
        <w:jc w:val="both"/>
        <w:rPr>
          <w:sz w:val="24"/>
          <w:szCs w:val="24"/>
          <w:u w:val="single"/>
        </w:rPr>
      </w:pPr>
      <w:r>
        <w:rPr>
          <w:sz w:val="24"/>
          <w:szCs w:val="24"/>
          <w:u w:val="single"/>
        </w:rPr>
        <w:t>Mlčenlivost:</w:t>
      </w:r>
    </w:p>
    <w:p w14:paraId="01DD603D" w14:textId="77777777" w:rsidR="00B8590C" w:rsidRDefault="007845BE">
      <w:pPr>
        <w:pStyle w:val="Odstavecseseznamem"/>
        <w:numPr>
          <w:ilvl w:val="0"/>
          <w:numId w:val="11"/>
        </w:numPr>
        <w:spacing w:before="120"/>
        <w:jc w:val="both"/>
        <w:rPr>
          <w:sz w:val="24"/>
          <w:szCs w:val="24"/>
        </w:rPr>
      </w:pPr>
      <w:r>
        <w:rPr>
          <w:sz w:val="24"/>
          <w:szCs w:val="24"/>
        </w:rPr>
        <w:t>Partneři se zavazují chránit svá obchodní tajemství. Za obchodní tajemství se považují rovněž veškeré dokumenty a know-how, s nimiž se partneři seznámí v souvislosti s realizací projektu, pokud budou partnerem, kterého se týkají, kterým byly poskytnuty či od něhož byly získány, označeny za součást jeho obchodního tajemství.</w:t>
      </w:r>
    </w:p>
    <w:p w14:paraId="24C1B145" w14:textId="77777777" w:rsidR="00B8590C" w:rsidRDefault="007845BE">
      <w:pPr>
        <w:pStyle w:val="Odstavecseseznamem"/>
        <w:numPr>
          <w:ilvl w:val="0"/>
          <w:numId w:val="11"/>
        </w:numPr>
        <w:spacing w:before="120"/>
        <w:jc w:val="both"/>
        <w:rPr>
          <w:sz w:val="24"/>
          <w:szCs w:val="24"/>
        </w:rPr>
      </w:pPr>
      <w:r>
        <w:rPr>
          <w:sz w:val="24"/>
          <w:szCs w:val="24"/>
        </w:rPr>
        <w:t>Partneři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přechozím písemným souhlasem partnera, kterého se tyto informace týkají a který tyto informace poskytuje, pouze za účelem naplňování předmětu smlouvy.</w:t>
      </w:r>
    </w:p>
    <w:p w14:paraId="35BA64E2" w14:textId="77777777" w:rsidR="00B8590C" w:rsidRDefault="007845BE">
      <w:pPr>
        <w:pStyle w:val="Odstavecseseznamem"/>
        <w:numPr>
          <w:ilvl w:val="0"/>
          <w:numId w:val="11"/>
        </w:numPr>
        <w:spacing w:before="120"/>
        <w:jc w:val="both"/>
        <w:rPr>
          <w:sz w:val="24"/>
          <w:szCs w:val="24"/>
        </w:rPr>
      </w:pPr>
      <w:r>
        <w:rPr>
          <w:sz w:val="24"/>
          <w:szCs w:val="24"/>
        </w:rPr>
        <w:t>Partneři se společně zavazují k mlčenlivosti ohledně veškerých informací vztahujících se k řešení projektu včetně jeho návrhu tak, aby nebyly ohroženy výsledky a cíle jeho řešení.</w:t>
      </w:r>
    </w:p>
    <w:p w14:paraId="4ABD0127" w14:textId="77777777" w:rsidR="00B8590C" w:rsidRDefault="007845BE">
      <w:pPr>
        <w:pStyle w:val="Odstavecseseznamem"/>
        <w:numPr>
          <w:ilvl w:val="0"/>
          <w:numId w:val="11"/>
        </w:numPr>
        <w:spacing w:before="120"/>
        <w:jc w:val="both"/>
        <w:rPr>
          <w:sz w:val="24"/>
          <w:szCs w:val="24"/>
        </w:rPr>
      </w:pPr>
      <w:r>
        <w:rPr>
          <w:sz w:val="24"/>
          <w:szCs w:val="24"/>
        </w:rPr>
        <w:t>Povinnost mlčenlivosti dle této smlouvy se nevztahuje na informování veřejnosti o tom, že projekt (resp. jeho výstupy a výsledky) byl nebo je spolufinancován z prostředků poskytovatele.</w:t>
      </w:r>
    </w:p>
    <w:p w14:paraId="4FE200D8" w14:textId="77777777" w:rsidR="00B8590C" w:rsidRDefault="007845BE">
      <w:pPr>
        <w:pStyle w:val="Odstavecseseznamem"/>
        <w:numPr>
          <w:ilvl w:val="0"/>
          <w:numId w:val="11"/>
        </w:numPr>
        <w:spacing w:before="120"/>
        <w:jc w:val="both"/>
        <w:rPr>
          <w:sz w:val="24"/>
          <w:szCs w:val="24"/>
        </w:rPr>
      </w:pPr>
      <w:bookmarkStart w:id="1" w:name="_Hlk510182703"/>
      <w:r>
        <w:rPr>
          <w:sz w:val="24"/>
        </w:rPr>
        <w:t>Partneři se zavazují, že nebudou zveřejňovat výsledky své činnosti při realizaci projektu způsobem, který by mohl zasáhnout do oprávněných zájmů druhého partnera či poskytovatele</w:t>
      </w:r>
      <w:bookmarkEnd w:id="1"/>
      <w:r>
        <w:rPr>
          <w:sz w:val="24"/>
        </w:rPr>
        <w:t>, zejména nebudou zveřejňovat informace, které partner označí za důvěrné.</w:t>
      </w:r>
    </w:p>
    <w:p w14:paraId="2C4749D8" w14:textId="77777777" w:rsidR="00B8590C" w:rsidRDefault="007845BE">
      <w:pPr>
        <w:pStyle w:val="Odstavecseseznamem"/>
        <w:numPr>
          <w:ilvl w:val="0"/>
          <w:numId w:val="11"/>
        </w:numPr>
        <w:spacing w:before="120"/>
        <w:jc w:val="both"/>
        <w:rPr>
          <w:sz w:val="24"/>
          <w:szCs w:val="24"/>
        </w:rPr>
      </w:pPr>
      <w:r>
        <w:rPr>
          <w:sz w:val="24"/>
        </w:rPr>
        <w:t>Zveřejňováním se rozumí jakékoliv sdělování veřejnosti včetně výuky. Ustanovení tohoto článku platí přiměřeně i pro zveřejnění výsledků v Rejstříku informací o výsledcích.</w:t>
      </w:r>
    </w:p>
    <w:p w14:paraId="45E8A21C" w14:textId="77777777" w:rsidR="00B8590C" w:rsidRDefault="007845BE">
      <w:pPr>
        <w:pStyle w:val="Nadpis2"/>
        <w:spacing w:before="240" w:after="60"/>
        <w:rPr>
          <w:rFonts w:ascii="Times New Roman" w:hAnsi="Times New Roman"/>
        </w:rPr>
      </w:pPr>
      <w:r>
        <w:rPr>
          <w:rFonts w:ascii="Times New Roman" w:hAnsi="Times New Roman"/>
        </w:rPr>
        <w:t>Článek 9.</w:t>
      </w:r>
    </w:p>
    <w:p w14:paraId="089FE052" w14:textId="77777777" w:rsidR="00B8590C" w:rsidRDefault="007845BE">
      <w:pPr>
        <w:pStyle w:val="Nadpis2"/>
        <w:rPr>
          <w:rFonts w:ascii="Times New Roman" w:hAnsi="Times New Roman"/>
        </w:rPr>
      </w:pPr>
      <w:r>
        <w:rPr>
          <w:rFonts w:ascii="Times New Roman" w:hAnsi="Times New Roman"/>
        </w:rPr>
        <w:t>Sankce</w:t>
      </w:r>
    </w:p>
    <w:p w14:paraId="786D5C96" w14:textId="77777777" w:rsidR="00B8590C" w:rsidRDefault="007845BE">
      <w:pPr>
        <w:numPr>
          <w:ilvl w:val="0"/>
          <w:numId w:val="7"/>
        </w:numPr>
        <w:spacing w:before="120"/>
        <w:jc w:val="both"/>
        <w:rPr>
          <w:sz w:val="24"/>
        </w:rPr>
      </w:pPr>
      <w:r>
        <w:rPr>
          <w:sz w:val="24"/>
        </w:rPr>
        <w:t>Pokud další účastník projektu použije účelové finanční prostředky v rozporu s účelem anebo k jinému účelu, než ke kterému mu byly dle této smlouvy příjemcem poskytnuty, či je budou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14:paraId="1685EC8B" w14:textId="74FFB585" w:rsidR="00B8590C" w:rsidRDefault="007845BE">
      <w:pPr>
        <w:numPr>
          <w:ilvl w:val="0"/>
          <w:numId w:val="7"/>
        </w:numPr>
        <w:spacing w:before="60"/>
        <w:jc w:val="both"/>
        <w:rPr>
          <w:sz w:val="24"/>
        </w:rPr>
      </w:pPr>
      <w:r>
        <w:rPr>
          <w:sz w:val="24"/>
          <w:szCs w:val="24"/>
        </w:rPr>
        <w:t xml:space="preserve">V případě, že dojde k uplatnění smluvní pokuty či vratky dotace ze strany poskytovatele, má příjemce k příslušné kompenzaci po odpovědném dalším účastníkovi nárok na smluvní pokutu ve výši 100 % této platby poskytovateli. Tato smluvní pokuta nezahrnuje náhradu </w:t>
      </w:r>
      <w:r w:rsidR="003F0500">
        <w:rPr>
          <w:sz w:val="24"/>
          <w:szCs w:val="24"/>
        </w:rPr>
        <w:lastRenderedPageBreak/>
        <w:t>škody</w:t>
      </w:r>
      <w:r w:rsidR="003F0500">
        <w:rPr>
          <w:sz w:val="24"/>
        </w:rPr>
        <w:t>, kterou</w:t>
      </w:r>
      <w:r>
        <w:rPr>
          <w:sz w:val="24"/>
        </w:rPr>
        <w:t xml:space="preserve"> je oprávněna vymáhat samostatně,</w:t>
      </w:r>
      <w:r>
        <w:rPr>
          <w:sz w:val="24"/>
          <w:szCs w:val="24"/>
        </w:rPr>
        <w:t xml:space="preserve"> a aplikuje se nad rámec dalších sankcí vyplývajících z právních předpisů nebo z této smlouvy.</w:t>
      </w:r>
    </w:p>
    <w:p w14:paraId="2AD04253" w14:textId="77777777" w:rsidR="00B8590C" w:rsidRDefault="007845BE">
      <w:pPr>
        <w:pStyle w:val="Nadpis2"/>
        <w:spacing w:before="240" w:after="60"/>
        <w:rPr>
          <w:rFonts w:ascii="Times New Roman" w:hAnsi="Times New Roman"/>
        </w:rPr>
      </w:pPr>
      <w:r>
        <w:rPr>
          <w:rFonts w:ascii="Times New Roman" w:hAnsi="Times New Roman"/>
        </w:rPr>
        <w:t>Článek 10.</w:t>
      </w:r>
    </w:p>
    <w:p w14:paraId="128D3BFA" w14:textId="77777777" w:rsidR="00B8590C" w:rsidRDefault="007845BE">
      <w:pPr>
        <w:pStyle w:val="Nadpis2"/>
        <w:rPr>
          <w:rFonts w:ascii="Times New Roman" w:hAnsi="Times New Roman"/>
        </w:rPr>
      </w:pPr>
      <w:r>
        <w:rPr>
          <w:rFonts w:ascii="Times New Roman" w:hAnsi="Times New Roman"/>
        </w:rPr>
        <w:t xml:space="preserve">Všeobecná a závěrečná ujednání </w:t>
      </w:r>
    </w:p>
    <w:p w14:paraId="4F42A6C8" w14:textId="0BDC4157" w:rsidR="00B8590C" w:rsidRDefault="007845BE" w:rsidP="003F0500">
      <w:pPr>
        <w:numPr>
          <w:ilvl w:val="0"/>
          <w:numId w:val="14"/>
        </w:numPr>
        <w:spacing w:before="120"/>
        <w:jc w:val="both"/>
        <w:rPr>
          <w:sz w:val="24"/>
        </w:rPr>
      </w:pPr>
      <w:r>
        <w:rPr>
          <w:sz w:val="24"/>
        </w:rPr>
        <w:t>Pokud by došlo k porušení pravidel (podmínek) spolupráce vymezených v této smlouvě některou ze smluvních stran, je strana, která porušení způsobila, povinna nahradit druhé straně prokazatelnou škodu.</w:t>
      </w:r>
    </w:p>
    <w:p w14:paraId="4B053301" w14:textId="77777777" w:rsidR="00B8590C" w:rsidRDefault="007845BE" w:rsidP="003F0500">
      <w:pPr>
        <w:numPr>
          <w:ilvl w:val="0"/>
          <w:numId w:val="14"/>
        </w:numPr>
        <w:spacing w:before="120"/>
        <w:jc w:val="both"/>
        <w:rPr>
          <w:sz w:val="24"/>
        </w:rPr>
      </w:pPr>
      <w:r>
        <w:rPr>
          <w:sz w:val="24"/>
        </w:rPr>
        <w:t>Smluvní strany ujednávají, že se budou řídit smlouvou o poskytnutí podpory na řešení projektu uzavřenou mezi poskytovatelem a příjemcem, přičemž další účastník je zejména povinen dodržovat povinnosti stanovené v čl. 4 Všeobecných podmínek, které jsou přílohou Smlouvy o poskytnutí podpory, a dále je povinen poskytnout příjemci veškerou potřebnou součinnost za účelem dodržení těchto povinností.</w:t>
      </w:r>
    </w:p>
    <w:p w14:paraId="218279DE" w14:textId="77777777" w:rsidR="00B8590C" w:rsidRPr="003F0500" w:rsidRDefault="007845BE" w:rsidP="003F0500">
      <w:pPr>
        <w:numPr>
          <w:ilvl w:val="0"/>
          <w:numId w:val="14"/>
        </w:numPr>
        <w:spacing w:before="120"/>
        <w:jc w:val="both"/>
        <w:rPr>
          <w:sz w:val="24"/>
        </w:rPr>
      </w:pPr>
      <w:r>
        <w:rPr>
          <w:sz w:val="24"/>
        </w:rPr>
        <w:t xml:space="preserve">Zásady, které nejsou touto smlouvou upraveny, se řídí zákonem č. 89/2012 Sb., občanským zákoníkem, v platném znění, a </w:t>
      </w:r>
      <w:r w:rsidRPr="003F0500">
        <w:rPr>
          <w:sz w:val="24"/>
        </w:rPr>
        <w:t>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2589FE96" w14:textId="77777777" w:rsidR="00B8590C" w:rsidRPr="003F0500" w:rsidRDefault="007845BE" w:rsidP="003F0500">
      <w:pPr>
        <w:numPr>
          <w:ilvl w:val="0"/>
          <w:numId w:val="14"/>
        </w:numPr>
        <w:spacing w:before="120"/>
        <w:jc w:val="both"/>
        <w:rPr>
          <w:sz w:val="24"/>
        </w:rPr>
      </w:pPr>
      <w:r w:rsidRPr="003F0500">
        <w:rPr>
          <w:sz w:val="24"/>
        </w:rPr>
        <w:t>Tuto smlouvu lze měnit pouze písemnými dodatky, obsahujícími dohodu smluvních stran a podepsanými oprávněnými zástupci smluvních stran.</w:t>
      </w:r>
    </w:p>
    <w:p w14:paraId="39F8782A" w14:textId="77777777" w:rsidR="00B8590C" w:rsidRPr="003F0500" w:rsidRDefault="007845BE" w:rsidP="003F0500">
      <w:pPr>
        <w:numPr>
          <w:ilvl w:val="0"/>
          <w:numId w:val="14"/>
        </w:numPr>
        <w:spacing w:before="120"/>
        <w:jc w:val="both"/>
        <w:rPr>
          <w:sz w:val="24"/>
        </w:rPr>
      </w:pPr>
      <w:r w:rsidRPr="003F0500">
        <w:rPr>
          <w:sz w:val="24"/>
        </w:rPr>
        <w:t>Smlouva se uzavírá na dobu určitou, a to do úplného splnění všech závazků smluvních stran vyplývajících z této smlouvy, nejpozději však do 180 dní ode dne ukončení řešení projektu příjemcem. Po uplynutí doby trvání smlouvy zůstávají platná a účinná ta ustanovení smlouvy, u nichž je zřejmé, že bylo úmyslem smluvních stran, aby nepozbyly platnosti a účinnosti okamžikem uplynutí doby, na kterou je smlouva uzavřena. Smlouva nabývá platnosti a účinnosti dnem podpisu druhou ze smluvních stran.</w:t>
      </w:r>
    </w:p>
    <w:p w14:paraId="0C26BB87" w14:textId="77777777" w:rsidR="00B8590C" w:rsidRPr="003F0500" w:rsidRDefault="007845BE" w:rsidP="003F0500">
      <w:pPr>
        <w:numPr>
          <w:ilvl w:val="0"/>
          <w:numId w:val="14"/>
        </w:numPr>
        <w:spacing w:before="120"/>
        <w:jc w:val="both"/>
        <w:rPr>
          <w:sz w:val="24"/>
        </w:rPr>
      </w:pPr>
      <w:r w:rsidRPr="003F0500">
        <w:rPr>
          <w:sz w:val="24"/>
        </w:rPr>
        <w:t>Smluvní strany souhlasí s uveřejněním této smlouvy včetně jejích příloh v registru smluv podle zákona č. 340/2015 Sb., o zvláštních podmínkách účinnosti některých smluv, uveřejňování těchto smluv a o registru smluv (zákon o registru smluv). Uveřejnění smlouvy prostřednictvím registru smluv zajistí další účastník projektu.</w:t>
      </w:r>
    </w:p>
    <w:p w14:paraId="44F4DC78" w14:textId="32D1E1B7" w:rsidR="00B8590C" w:rsidRDefault="007845BE" w:rsidP="003F0500">
      <w:pPr>
        <w:numPr>
          <w:ilvl w:val="0"/>
          <w:numId w:val="14"/>
        </w:numPr>
        <w:spacing w:before="120"/>
        <w:jc w:val="both"/>
        <w:rPr>
          <w:sz w:val="24"/>
        </w:rPr>
      </w:pPr>
      <w:r w:rsidRPr="003F0500">
        <w:rPr>
          <w:sz w:val="24"/>
        </w:rPr>
        <w:t xml:space="preserve">Smlouva je </w:t>
      </w:r>
      <w:r w:rsidR="000B08A7">
        <w:rPr>
          <w:sz w:val="24"/>
        </w:rPr>
        <w:t>uzavřena elektronickými prostředky v souladu se zákonem č. 297/2016 Sb., o službách vytvářejících důvěru pro elektronické transakce, ve znění pozdějších předpisů a je vyhotovena v jednom originále.</w:t>
      </w:r>
    </w:p>
    <w:p w14:paraId="00BACACE" w14:textId="77777777" w:rsidR="00B8590C" w:rsidRPr="003F0500" w:rsidRDefault="007845BE" w:rsidP="003F0500">
      <w:pPr>
        <w:numPr>
          <w:ilvl w:val="0"/>
          <w:numId w:val="14"/>
        </w:numPr>
        <w:spacing w:before="120"/>
        <w:jc w:val="both"/>
        <w:rPr>
          <w:sz w:val="24"/>
        </w:rPr>
      </w:pPr>
      <w:r w:rsidRPr="003F0500">
        <w:rPr>
          <w:sz w:val="24"/>
        </w:rPr>
        <w:t>Smluvní strany výslovně potvrzují, že tato smlouva je výsledkem jejich jednání a každá ze stran měla příležitost ovlivnit její základní podmínky. Smluvní strany tímto prohlašují, že tato smlouva je projevem jejich pravé a svobodné vůle a na důkaz souhlasu s jejím obsahem připojují své podpisy.</w:t>
      </w:r>
    </w:p>
    <w:p w14:paraId="1902E0D5" w14:textId="77777777" w:rsidR="00B8590C" w:rsidRDefault="00B8590C">
      <w:pPr>
        <w:pStyle w:val="Odstavecseseznamem1"/>
        <w:spacing w:before="60"/>
        <w:ind w:left="737"/>
        <w:rPr>
          <w:sz w:val="24"/>
          <w:szCs w:val="24"/>
        </w:rPr>
      </w:pPr>
    </w:p>
    <w:p w14:paraId="1E78145D" w14:textId="77777777" w:rsidR="00B8590C" w:rsidRDefault="007845BE">
      <w:pPr>
        <w:spacing w:before="60"/>
        <w:jc w:val="both"/>
        <w:rPr>
          <w:sz w:val="24"/>
        </w:rPr>
      </w:pPr>
      <w:r>
        <w:rPr>
          <w:sz w:val="24"/>
        </w:rPr>
        <w:t>Příloha č. 1: Smlouva o poskytnutí podpory včetně jejich příloh uzavřená mezi příjemcem a poskytovatelem dotace.</w:t>
      </w:r>
    </w:p>
    <w:p w14:paraId="7FB1EF9D" w14:textId="77777777" w:rsidR="00B8590C" w:rsidRDefault="00B8590C">
      <w:pPr>
        <w:spacing w:before="60"/>
        <w:jc w:val="both"/>
        <w:rPr>
          <w:sz w:val="24"/>
        </w:rPr>
      </w:pPr>
    </w:p>
    <w:tbl>
      <w:tblPr>
        <w:tblW w:w="9071" w:type="dxa"/>
        <w:tblLayout w:type="fixed"/>
        <w:tblLook w:val="01E0" w:firstRow="1" w:lastRow="1" w:firstColumn="1" w:lastColumn="1" w:noHBand="0" w:noVBand="0"/>
      </w:tblPr>
      <w:tblGrid>
        <w:gridCol w:w="4535"/>
        <w:gridCol w:w="4536"/>
      </w:tblGrid>
      <w:tr w:rsidR="00B8590C" w14:paraId="510C077B" w14:textId="77777777">
        <w:tc>
          <w:tcPr>
            <w:tcW w:w="4535" w:type="dxa"/>
          </w:tcPr>
          <w:p w14:paraId="68424897" w14:textId="770ADEEA" w:rsidR="00B8590C" w:rsidRDefault="007845BE">
            <w:pPr>
              <w:widowControl w:val="0"/>
              <w:rPr>
                <w:sz w:val="24"/>
              </w:rPr>
            </w:pPr>
            <w:r>
              <w:rPr>
                <w:sz w:val="24"/>
              </w:rPr>
              <w:t xml:space="preserve">V </w:t>
            </w:r>
            <w:r w:rsidR="00E46736">
              <w:rPr>
                <w:sz w:val="24"/>
              </w:rPr>
              <w:t>Brně</w:t>
            </w:r>
            <w:r>
              <w:rPr>
                <w:sz w:val="24"/>
              </w:rPr>
              <w:t xml:space="preserve">  dne: </w:t>
            </w:r>
          </w:p>
          <w:p w14:paraId="51E7B653" w14:textId="77777777" w:rsidR="00B8590C" w:rsidRDefault="00B8590C">
            <w:pPr>
              <w:widowControl w:val="0"/>
              <w:rPr>
                <w:sz w:val="24"/>
              </w:rPr>
            </w:pPr>
          </w:p>
          <w:p w14:paraId="414A7674" w14:textId="77777777" w:rsidR="00B8590C" w:rsidRDefault="007845BE">
            <w:pPr>
              <w:widowControl w:val="0"/>
              <w:rPr>
                <w:sz w:val="24"/>
              </w:rPr>
            </w:pPr>
            <w:r>
              <w:rPr>
                <w:b/>
                <w:sz w:val="24"/>
              </w:rPr>
              <w:t>za příjemce</w:t>
            </w:r>
            <w:r>
              <w:rPr>
                <w:sz w:val="24"/>
              </w:rPr>
              <w:t>:</w:t>
            </w:r>
          </w:p>
          <w:p w14:paraId="60AF13FC" w14:textId="77777777" w:rsidR="00B8590C" w:rsidRDefault="00B8590C">
            <w:pPr>
              <w:widowControl w:val="0"/>
              <w:rPr>
                <w:sz w:val="24"/>
              </w:rPr>
            </w:pPr>
          </w:p>
          <w:p w14:paraId="2BECC548" w14:textId="77777777" w:rsidR="00B8590C" w:rsidRDefault="007845BE">
            <w:pPr>
              <w:widowControl w:val="0"/>
              <w:jc w:val="center"/>
              <w:rPr>
                <w:sz w:val="24"/>
              </w:rPr>
            </w:pPr>
            <w:r>
              <w:rPr>
                <w:sz w:val="24"/>
              </w:rPr>
              <w:t>___________________________________</w:t>
            </w:r>
          </w:p>
          <w:p w14:paraId="35593419" w14:textId="77777777" w:rsidR="00B8590C" w:rsidRDefault="00B8590C">
            <w:pPr>
              <w:widowControl w:val="0"/>
              <w:jc w:val="center"/>
              <w:rPr>
                <w:sz w:val="24"/>
              </w:rPr>
            </w:pPr>
          </w:p>
        </w:tc>
        <w:tc>
          <w:tcPr>
            <w:tcW w:w="4535" w:type="dxa"/>
          </w:tcPr>
          <w:p w14:paraId="3A306DDC" w14:textId="2C8C8AA1" w:rsidR="00B8590C" w:rsidRDefault="007845BE">
            <w:pPr>
              <w:widowControl w:val="0"/>
              <w:tabs>
                <w:tab w:val="left" w:pos="5670"/>
              </w:tabs>
              <w:jc w:val="both"/>
              <w:rPr>
                <w:sz w:val="24"/>
              </w:rPr>
            </w:pPr>
            <w:r>
              <w:rPr>
                <w:sz w:val="24"/>
              </w:rPr>
              <w:t>V</w:t>
            </w:r>
            <w:r w:rsidR="00E46736">
              <w:rPr>
                <w:sz w:val="24"/>
              </w:rPr>
              <w:t xml:space="preserve"> Brně</w:t>
            </w:r>
            <w:r>
              <w:rPr>
                <w:sz w:val="24"/>
              </w:rPr>
              <w:t xml:space="preserve"> dne:  </w:t>
            </w:r>
          </w:p>
          <w:p w14:paraId="6EF37566" w14:textId="77777777" w:rsidR="00B8590C" w:rsidRDefault="00B8590C">
            <w:pPr>
              <w:widowControl w:val="0"/>
              <w:rPr>
                <w:sz w:val="24"/>
              </w:rPr>
            </w:pPr>
          </w:p>
          <w:p w14:paraId="0CEBBA27" w14:textId="77777777" w:rsidR="00B8590C" w:rsidRDefault="007845BE">
            <w:pPr>
              <w:widowControl w:val="0"/>
              <w:rPr>
                <w:sz w:val="24"/>
              </w:rPr>
            </w:pPr>
            <w:r>
              <w:rPr>
                <w:b/>
                <w:sz w:val="24"/>
              </w:rPr>
              <w:t>za dalšího účastníka</w:t>
            </w:r>
            <w:r>
              <w:rPr>
                <w:sz w:val="24"/>
              </w:rPr>
              <w:t>:</w:t>
            </w:r>
          </w:p>
          <w:p w14:paraId="541A634B" w14:textId="77777777" w:rsidR="00B8590C" w:rsidRDefault="00B8590C">
            <w:pPr>
              <w:widowControl w:val="0"/>
              <w:rPr>
                <w:sz w:val="24"/>
              </w:rPr>
            </w:pPr>
          </w:p>
          <w:p w14:paraId="13601C40" w14:textId="77777777" w:rsidR="00B8590C" w:rsidRDefault="007845BE">
            <w:pPr>
              <w:widowControl w:val="0"/>
              <w:jc w:val="center"/>
              <w:rPr>
                <w:sz w:val="24"/>
              </w:rPr>
            </w:pPr>
            <w:r>
              <w:rPr>
                <w:sz w:val="24"/>
              </w:rPr>
              <w:t>___________________________________</w:t>
            </w:r>
          </w:p>
          <w:p w14:paraId="69287B38" w14:textId="77777777" w:rsidR="00B8590C" w:rsidRDefault="00B8590C">
            <w:pPr>
              <w:pStyle w:val="Zkladntext3"/>
              <w:widowControl w:val="0"/>
              <w:tabs>
                <w:tab w:val="left" w:pos="709"/>
              </w:tabs>
              <w:jc w:val="center"/>
            </w:pPr>
          </w:p>
        </w:tc>
      </w:tr>
      <w:tr w:rsidR="00C465CA" w14:paraId="50DC0A3A" w14:textId="77777777">
        <w:tc>
          <w:tcPr>
            <w:tcW w:w="4535" w:type="dxa"/>
          </w:tcPr>
          <w:p w14:paraId="257E2BCC" w14:textId="5567966B" w:rsidR="00C465CA" w:rsidRDefault="00C465CA">
            <w:pPr>
              <w:widowControl w:val="0"/>
              <w:rPr>
                <w:sz w:val="24"/>
              </w:rPr>
            </w:pPr>
            <w:r>
              <w:rPr>
                <w:sz w:val="24"/>
              </w:rPr>
              <w:t xml:space="preserve">               </w:t>
            </w:r>
            <w:r w:rsidR="00B55AAF">
              <w:rPr>
                <w:sz w:val="24"/>
              </w:rPr>
              <w:t>xxxxxxxxxxxxxxxxx</w:t>
            </w:r>
            <w:r>
              <w:rPr>
                <w:sz w:val="24"/>
              </w:rPr>
              <w:t xml:space="preserve">      </w:t>
            </w:r>
          </w:p>
          <w:p w14:paraId="73EF665D" w14:textId="135C4F75" w:rsidR="00C465CA" w:rsidRDefault="00C465CA" w:rsidP="00B55AAF">
            <w:pPr>
              <w:widowControl w:val="0"/>
              <w:rPr>
                <w:sz w:val="24"/>
              </w:rPr>
            </w:pPr>
            <w:r>
              <w:rPr>
                <w:sz w:val="24"/>
              </w:rPr>
              <w:t xml:space="preserve">                      </w:t>
            </w:r>
            <w:r w:rsidR="00B55AAF">
              <w:rPr>
                <w:sz w:val="24"/>
              </w:rPr>
              <w:t>xxxxxxxxx</w:t>
            </w:r>
            <w:r>
              <w:rPr>
                <w:sz w:val="24"/>
              </w:rPr>
              <w:t xml:space="preserve">                                        </w:t>
            </w:r>
          </w:p>
        </w:tc>
        <w:tc>
          <w:tcPr>
            <w:tcW w:w="4535" w:type="dxa"/>
          </w:tcPr>
          <w:p w14:paraId="2FA433F1" w14:textId="36840CE2" w:rsidR="00C465CA" w:rsidRDefault="00C465CA">
            <w:pPr>
              <w:widowControl w:val="0"/>
              <w:tabs>
                <w:tab w:val="left" w:pos="5670"/>
              </w:tabs>
              <w:jc w:val="both"/>
              <w:rPr>
                <w:sz w:val="24"/>
              </w:rPr>
            </w:pPr>
            <w:r>
              <w:rPr>
                <w:sz w:val="24"/>
              </w:rPr>
              <w:t xml:space="preserve">          </w:t>
            </w:r>
            <w:r w:rsidR="00B55AAF">
              <w:rPr>
                <w:sz w:val="24"/>
              </w:rPr>
              <w:t>xxxxxxxxxxxxxxxxxxxxx</w:t>
            </w:r>
          </w:p>
          <w:p w14:paraId="4236F183" w14:textId="308580B8" w:rsidR="00C465CA" w:rsidRDefault="00C465CA" w:rsidP="00B55AAF">
            <w:pPr>
              <w:widowControl w:val="0"/>
              <w:tabs>
                <w:tab w:val="left" w:pos="5670"/>
              </w:tabs>
              <w:jc w:val="both"/>
              <w:rPr>
                <w:sz w:val="24"/>
              </w:rPr>
            </w:pPr>
            <w:r>
              <w:rPr>
                <w:sz w:val="24"/>
              </w:rPr>
              <w:t xml:space="preserve">                     </w:t>
            </w:r>
            <w:r w:rsidR="00B55AAF">
              <w:rPr>
                <w:sz w:val="24"/>
              </w:rPr>
              <w:t>xxxxxxxxxx</w:t>
            </w:r>
          </w:p>
        </w:tc>
      </w:tr>
    </w:tbl>
    <w:p w14:paraId="59E9A966" w14:textId="1E56365B" w:rsidR="00B8590C" w:rsidRDefault="00B8590C" w:rsidP="00FC7CFA"/>
    <w:sectPr w:rsidR="00B8590C">
      <w:footerReference w:type="even" r:id="rId7"/>
      <w:footerReference w:type="default" r:id="rId8"/>
      <w:footerReference w:type="first" r:id="rId9"/>
      <w:pgSz w:w="11906" w:h="16838"/>
      <w:pgMar w:top="709" w:right="1134" w:bottom="1134" w:left="1134"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A7123" w14:textId="77777777" w:rsidR="00CD7BC1" w:rsidRDefault="00CD7BC1">
      <w:r>
        <w:separator/>
      </w:r>
    </w:p>
  </w:endnote>
  <w:endnote w:type="continuationSeparator" w:id="0">
    <w:p w14:paraId="132FCDAE" w14:textId="77777777" w:rsidR="00CD7BC1" w:rsidRDefault="00CD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13B4" w14:textId="77777777" w:rsidR="00B8590C" w:rsidRDefault="007845BE">
    <w:pPr>
      <w:pStyle w:val="Zpat"/>
      <w:ind w:right="360"/>
    </w:pPr>
    <w:r>
      <w:rPr>
        <w:noProof/>
      </w:rPr>
      <mc:AlternateContent>
        <mc:Choice Requires="wps">
          <w:drawing>
            <wp:anchor distT="0" distB="0" distL="0" distR="0" simplePos="0" relativeHeight="251658240" behindDoc="0" locked="0" layoutInCell="1" allowOverlap="1" wp14:anchorId="2DD7109E" wp14:editId="2EA53A77">
              <wp:simplePos x="0" y="0"/>
              <wp:positionH relativeFrom="margin">
                <wp:align>right</wp:align>
              </wp:positionH>
              <wp:positionV relativeFrom="paragraph">
                <wp:posOffset>635</wp:posOffset>
              </wp:positionV>
              <wp:extent cx="14605" cy="1460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3C0C27F" w14:textId="77777777" w:rsidR="00B8590C" w:rsidRDefault="007845BE">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shapetype w14:anchorId="2DD7109E" id="_x0000_t202" coordsize="21600,21600" o:spt="202" path="m,l,21600r21600,l21600,xe">
              <v:stroke joinstyle="miter"/>
              <v:path gradientshapeok="t" o:connecttype="rect"/>
            </v:shapetype>
            <v:shape id="Rámec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nStQEAAGQDAAAOAAAAZHJzL2Uyb0RvYy54bWysU12O0zAQfkfiDpbfqdMVrFDUdAWsipAQ&#10;IHY5gOPYjSXbY3m8TXoczsLFGDttdwVvq82DM3/+Zr6Z8eZm9o4ddEILoePrVcOZDgoGG/Yd/3W/&#10;e/OeM8wyDNJB0B0/auQ329evNlNs9RWM4AadGIEEbKfY8THn2AqBatRe4gqiDuQ0kLzMpKa9GJKc&#10;CN07cdU012KCNMQESiOS9XZx8m3FN0ar/N0Y1Jm5jlNtuZ6pnn05xXYj232ScbTqVIZ8RhVe2kBJ&#10;L1C3Mkv2kOx/UN6qBAgmrxR4AcZYpSsHYrNu/mFzN8qoKxdqDsZLm/DlYNW3w4/E7ECz4yxITyP6&#10;+ee312pdWjNFbCniLlJMnj/CXMJOdiRjYTyb5MufuDDyU5OPl8bqOTNVLr29bt5xpsiziIQhHq/G&#10;hPmzBs+K0PFEU6vNlIevmJfQc0jJhODssLPOVSXt+08usYOkCe/qt9x1cZSLtU6Z0uESWlM/wRCF&#10;5cKmSHnu5xPFHoYjMXdfAnW8bM9ZSGehPwsyqBFor5bCMX54yLCztfgCuiBR5qLQKGsNp7Uru/JU&#10;r1GPj2P7FwAA//8DAFBLAwQUAAYACAAAACEA73KSitgAAAABAQAADwAAAGRycy9kb3ducmV2Lnht&#10;bEyPQUsDMRCF70L/QxjBm81aReq62VIKCxZFbdV7moy7S5PJkqTt+u+dnvQ0vHnDe99Ui9E7ccSY&#10;+kAKbqYFCCQTbE+tgs+P5noOImVNVrtAqOAHEyzqyUWlSxtOtMHjNreCQyiVWkGX81BKmUyHXqdp&#10;GJDY+w7R68wyttJGfeJw7+SsKO6l1z1xQ6cHXHVo9tuDV5CafXp7Xcan968HR41Zv6zDs1Hq6nJc&#10;PoLIOOa/YzjjMzrUzLQLB7JJOAX8SD5vBXuzWxA7Hncg60r+J69/AQAA//8DAFBLAQItABQABgAI&#10;AAAAIQC2gziS/gAAAOEBAAATAAAAAAAAAAAAAAAAAAAAAABbQ29udGVudF9UeXBlc10ueG1sUEsB&#10;Ai0AFAAGAAgAAAAhADj9If/WAAAAlAEAAAsAAAAAAAAAAAAAAAAALwEAAF9yZWxzLy5yZWxzUEsB&#10;Ai0AFAAGAAgAAAAhAIQXudK1AQAAZAMAAA4AAAAAAAAAAAAAAAAALgIAAGRycy9lMm9Eb2MueG1s&#10;UEsBAi0AFAAGAAgAAAAhAO9ykorYAAAAAQEAAA8AAAAAAAAAAAAAAAAADwQAAGRycy9kb3ducmV2&#10;LnhtbFBLBQYAAAAABAAEAPMAAAAUBQAAAAA=&#10;" stroked="f">
              <v:fill opacity="0"/>
              <v:textbox style="mso-fit-shape-to-text:t" inset="0,0,0,0">
                <w:txbxContent>
                  <w:p w14:paraId="13C0C27F" w14:textId="77777777" w:rsidR="00B8590C" w:rsidRDefault="007845BE">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66AB" w14:textId="78F901E8" w:rsidR="00B8590C" w:rsidRDefault="007845BE">
    <w:pPr>
      <w:pStyle w:val="Zpat"/>
      <w:ind w:right="360"/>
      <w:jc w:val="center"/>
    </w:pPr>
    <w:r>
      <w:rPr>
        <w:rStyle w:val="slostrnky"/>
      </w:rPr>
      <w:fldChar w:fldCharType="begin"/>
    </w:r>
    <w:r>
      <w:rPr>
        <w:rStyle w:val="slostrnky"/>
      </w:rPr>
      <w:instrText>PAGE</w:instrText>
    </w:r>
    <w:r>
      <w:rPr>
        <w:rStyle w:val="slostrnky"/>
      </w:rPr>
      <w:fldChar w:fldCharType="separate"/>
    </w:r>
    <w:r w:rsidR="00B55AAF">
      <w:rPr>
        <w:rStyle w:val="slostrnky"/>
        <w:noProof/>
      </w:rPr>
      <w:t>7</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76DD" w14:textId="77777777" w:rsidR="00B8590C" w:rsidRDefault="007845BE">
    <w:pPr>
      <w:pStyle w:val="Zpat"/>
      <w:ind w:right="360"/>
      <w:jc w:val="center"/>
    </w:pPr>
    <w:r>
      <w:rPr>
        <w:rStyle w:val="slostrnky"/>
      </w:rPr>
      <w:fldChar w:fldCharType="begin"/>
    </w:r>
    <w:r>
      <w:rPr>
        <w:rStyle w:val="slostrnky"/>
      </w:rPr>
      <w:instrText>PAGE</w:instrText>
    </w:r>
    <w:r>
      <w:rPr>
        <w:rStyle w:val="slostrnky"/>
      </w:rPr>
      <w:fldChar w:fldCharType="separate"/>
    </w:r>
    <w:r>
      <w:rPr>
        <w:rStyle w:val="slostrnky"/>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5B7E2" w14:textId="77777777" w:rsidR="00CD7BC1" w:rsidRDefault="00CD7BC1">
      <w:r>
        <w:separator/>
      </w:r>
    </w:p>
  </w:footnote>
  <w:footnote w:type="continuationSeparator" w:id="0">
    <w:p w14:paraId="22BC6D54" w14:textId="77777777" w:rsidR="00CD7BC1" w:rsidRDefault="00CD7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F92"/>
    <w:multiLevelType w:val="multilevel"/>
    <w:tmpl w:val="4D6816F0"/>
    <w:lvl w:ilvl="0">
      <w:start w:val="1"/>
      <w:numFmt w:val="decimal"/>
      <w:lvlText w:val="10.%1"/>
      <w:lvlJc w:val="left"/>
      <w:pPr>
        <w:tabs>
          <w:tab w:val="num" w:pos="737"/>
        </w:tabs>
        <w:ind w:left="737" w:hanging="737"/>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13C21E6B"/>
    <w:multiLevelType w:val="multilevel"/>
    <w:tmpl w:val="36E8D04C"/>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360" w:hanging="360"/>
      </w:pPr>
      <w:rPr>
        <w:rFonts w:cs="Times New Roman"/>
        <w:b/>
        <w:color w:val="auto"/>
      </w:rPr>
    </w:lvl>
    <w:lvl w:ilvl="2">
      <w:start w:val="1"/>
      <w:numFmt w:val="decimal"/>
      <w:lvlText w:val="%2.%3"/>
      <w:lvlJc w:val="left"/>
      <w:pPr>
        <w:tabs>
          <w:tab w:val="num" w:pos="720"/>
        </w:tabs>
        <w:ind w:left="720" w:hanging="720"/>
      </w:pPr>
      <w:rPr>
        <w:rFonts w:cs="Times New Roman"/>
        <w:b/>
        <w:color w:val="auto"/>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 w15:restartNumberingAfterBreak="0">
    <w:nsid w:val="14AF3295"/>
    <w:multiLevelType w:val="multilevel"/>
    <w:tmpl w:val="75BC087A"/>
    <w:lvl w:ilvl="0">
      <w:start w:val="1"/>
      <w:numFmt w:val="decimal"/>
      <w:lvlText w:val="6.%1"/>
      <w:lvlJc w:val="left"/>
      <w:pPr>
        <w:tabs>
          <w:tab w:val="num" w:pos="737"/>
        </w:tabs>
        <w:ind w:left="737" w:hanging="737"/>
      </w:pPr>
      <w:rPr>
        <w:rFonts w:cs="Times New Roman"/>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0B861FC"/>
    <w:multiLevelType w:val="multilevel"/>
    <w:tmpl w:val="A3D6CB8E"/>
    <w:lvl w:ilvl="0">
      <w:start w:val="1"/>
      <w:numFmt w:val="decimal"/>
      <w:lvlText w:val="9.%1"/>
      <w:lvlJc w:val="left"/>
      <w:pPr>
        <w:tabs>
          <w:tab w:val="num" w:pos="737"/>
        </w:tabs>
        <w:ind w:left="737" w:hanging="737"/>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69B507E"/>
    <w:multiLevelType w:val="multilevel"/>
    <w:tmpl w:val="656A2A2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42A44793"/>
    <w:multiLevelType w:val="multilevel"/>
    <w:tmpl w:val="16229E94"/>
    <w:lvl w:ilvl="0">
      <w:start w:val="1"/>
      <w:numFmt w:val="decimal"/>
      <w:lvlText w:val="1%1.0"/>
      <w:lvlJc w:val="left"/>
      <w:pPr>
        <w:tabs>
          <w:tab w:val="num" w:pos="737"/>
        </w:tabs>
        <w:ind w:left="737" w:hanging="737"/>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81E7A77"/>
    <w:multiLevelType w:val="multilevel"/>
    <w:tmpl w:val="D4961386"/>
    <w:lvl w:ilvl="0">
      <w:start w:val="9"/>
      <w:numFmt w:val="decimal"/>
      <w:lvlText w:val="%1"/>
      <w:lvlJc w:val="left"/>
      <w:pPr>
        <w:tabs>
          <w:tab w:val="num" w:pos="0"/>
        </w:tabs>
        <w:ind w:left="360" w:hanging="360"/>
      </w:pPr>
      <w:rPr>
        <w:rFonts w:cs="Times New Roman"/>
      </w:rPr>
    </w:lvl>
    <w:lvl w:ilvl="1">
      <w:start w:val="1"/>
      <w:numFmt w:val="decimal"/>
      <w:lvlText w:val="8.%2"/>
      <w:lvlJc w:val="left"/>
      <w:pPr>
        <w:tabs>
          <w:tab w:val="num" w:pos="0"/>
        </w:tabs>
        <w:ind w:left="360" w:hanging="360"/>
      </w:pPr>
      <w:rPr>
        <w:b/>
        <w:color w:val="auto"/>
      </w:rPr>
    </w:lvl>
    <w:lvl w:ilvl="2">
      <w:start w:val="1"/>
      <w:numFmt w:val="lowerLetter"/>
      <w:lvlText w:val="%3)"/>
      <w:lvlJc w:val="left"/>
      <w:pPr>
        <w:tabs>
          <w:tab w:val="num" w:pos="0"/>
        </w:tabs>
        <w:ind w:left="720" w:hanging="720"/>
      </w:p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7" w15:restartNumberingAfterBreak="0">
    <w:nsid w:val="482D3097"/>
    <w:multiLevelType w:val="multilevel"/>
    <w:tmpl w:val="C062FCD8"/>
    <w:lvl w:ilvl="0">
      <w:start w:val="1"/>
      <w:numFmt w:val="decimal"/>
      <w:lvlText w:val="3.%1"/>
      <w:lvlJc w:val="left"/>
      <w:pPr>
        <w:tabs>
          <w:tab w:val="num" w:pos="737"/>
        </w:tabs>
        <w:ind w:left="737" w:hanging="737"/>
      </w:pPr>
      <w:rPr>
        <w:rFonts w:cs="Times New Roman"/>
        <w:b/>
        <w:color w:val="auto"/>
      </w:rPr>
    </w:lvl>
    <w:lvl w:ilvl="1">
      <w:start w:val="1"/>
      <w:numFmt w:val="bullet"/>
      <w:lvlText w:val=""/>
      <w:lvlJc w:val="left"/>
      <w:pPr>
        <w:tabs>
          <w:tab w:val="num" w:pos="1817"/>
        </w:tabs>
        <w:ind w:left="1817" w:hanging="737"/>
      </w:pPr>
      <w:rPr>
        <w:rFonts w:ascii="Symbol" w:hAnsi="Symbol" w:cs="Symbol" w:hint="default"/>
        <w:b/>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5B481545"/>
    <w:multiLevelType w:val="multilevel"/>
    <w:tmpl w:val="38C409D0"/>
    <w:lvl w:ilvl="0">
      <w:start w:val="1"/>
      <w:numFmt w:val="decimal"/>
      <w:lvlText w:val="4.%1"/>
      <w:lvlJc w:val="left"/>
      <w:pPr>
        <w:tabs>
          <w:tab w:val="num" w:pos="737"/>
        </w:tabs>
        <w:ind w:left="737" w:hanging="737"/>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C6E3D6D"/>
    <w:multiLevelType w:val="multilevel"/>
    <w:tmpl w:val="61208F1E"/>
    <w:lvl w:ilvl="0">
      <w:start w:val="1"/>
      <w:numFmt w:val="decimal"/>
      <w:lvlText w:val="2.%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7E04896"/>
    <w:multiLevelType w:val="multilevel"/>
    <w:tmpl w:val="B5E6C602"/>
    <w:lvl w:ilvl="0">
      <w:start w:val="1"/>
      <w:numFmt w:val="decimal"/>
      <w:lvlText w:val="5.%1"/>
      <w:lvlJc w:val="left"/>
      <w:pPr>
        <w:tabs>
          <w:tab w:val="num" w:pos="737"/>
        </w:tabs>
        <w:ind w:left="737" w:hanging="737"/>
      </w:pPr>
      <w:rPr>
        <w:b/>
        <w:color w:val="auto"/>
      </w:rPr>
    </w:lvl>
    <w:lvl w:ilvl="1">
      <w:start w:val="1"/>
      <w:numFmt w:val="lowerLetter"/>
      <w:lvlText w:val="%2."/>
      <w:lvlJc w:val="left"/>
      <w:pPr>
        <w:tabs>
          <w:tab w:val="num" w:pos="1440"/>
        </w:tabs>
        <w:ind w:left="1440" w:hanging="360"/>
      </w:pPr>
      <w:rPr>
        <w:rFonts w:cs="Times New Roman"/>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06A6AA5"/>
    <w:multiLevelType w:val="multilevel"/>
    <w:tmpl w:val="1584D2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12F57C2"/>
    <w:multiLevelType w:val="multilevel"/>
    <w:tmpl w:val="D9E84960"/>
    <w:lvl w:ilvl="0">
      <w:start w:val="1"/>
      <w:numFmt w:val="decimal"/>
      <w:lvlText w:val="7.%1"/>
      <w:lvlJc w:val="left"/>
      <w:pPr>
        <w:tabs>
          <w:tab w:val="num" w:pos="737"/>
        </w:tabs>
        <w:ind w:left="737" w:hanging="737"/>
      </w:pPr>
      <w:rPr>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A6247D8"/>
    <w:multiLevelType w:val="multilevel"/>
    <w:tmpl w:val="BCA6CBA6"/>
    <w:lvl w:ilvl="0">
      <w:start w:val="1"/>
      <w:numFmt w:val="lowerLetter"/>
      <w:lvlText w:val="%1)"/>
      <w:lvlJc w:val="left"/>
      <w:pPr>
        <w:tabs>
          <w:tab w:val="num" w:pos="2155"/>
        </w:tabs>
        <w:ind w:left="2155" w:hanging="737"/>
      </w:pPr>
    </w:lvl>
    <w:lvl w:ilvl="1">
      <w:start w:val="1"/>
      <w:numFmt w:val="lowerLetter"/>
      <w:lvlText w:val="%2."/>
      <w:lvlJc w:val="left"/>
      <w:pPr>
        <w:tabs>
          <w:tab w:val="num" w:pos="2858"/>
        </w:tabs>
        <w:ind w:left="2858" w:hanging="360"/>
      </w:pPr>
      <w:rPr>
        <w:rFonts w:cs="Times New Roman"/>
      </w:rPr>
    </w:lvl>
    <w:lvl w:ilvl="2">
      <w:start w:val="1"/>
      <w:numFmt w:val="decimal"/>
      <w:lvlText w:val="5.%3"/>
      <w:lvlJc w:val="left"/>
      <w:pPr>
        <w:tabs>
          <w:tab w:val="num" w:pos="2155"/>
        </w:tabs>
        <w:ind w:left="2155" w:hanging="737"/>
      </w:pPr>
      <w:rPr>
        <w:rFonts w:cs="Times New Roman"/>
        <w:b/>
      </w:rPr>
    </w:lvl>
    <w:lvl w:ilvl="3">
      <w:start w:val="1"/>
      <w:numFmt w:val="decimal"/>
      <w:lvlText w:val="%4."/>
      <w:lvlJc w:val="left"/>
      <w:pPr>
        <w:tabs>
          <w:tab w:val="num" w:pos="4298"/>
        </w:tabs>
        <w:ind w:left="4298" w:hanging="360"/>
      </w:pPr>
      <w:rPr>
        <w:rFonts w:cs="Times New Roman"/>
      </w:rPr>
    </w:lvl>
    <w:lvl w:ilvl="4">
      <w:start w:val="1"/>
      <w:numFmt w:val="lowerLetter"/>
      <w:lvlText w:val="%5."/>
      <w:lvlJc w:val="left"/>
      <w:pPr>
        <w:tabs>
          <w:tab w:val="num" w:pos="5018"/>
        </w:tabs>
        <w:ind w:left="5018" w:hanging="360"/>
      </w:pPr>
      <w:rPr>
        <w:rFonts w:cs="Times New Roman"/>
      </w:rPr>
    </w:lvl>
    <w:lvl w:ilvl="5">
      <w:start w:val="1"/>
      <w:numFmt w:val="lowerRoman"/>
      <w:lvlText w:val="%6."/>
      <w:lvlJc w:val="right"/>
      <w:pPr>
        <w:tabs>
          <w:tab w:val="num" w:pos="5738"/>
        </w:tabs>
        <w:ind w:left="5738" w:hanging="180"/>
      </w:pPr>
      <w:rPr>
        <w:rFonts w:cs="Times New Roman"/>
      </w:rPr>
    </w:lvl>
    <w:lvl w:ilvl="6">
      <w:start w:val="1"/>
      <w:numFmt w:val="decimal"/>
      <w:lvlText w:val="%7."/>
      <w:lvlJc w:val="left"/>
      <w:pPr>
        <w:tabs>
          <w:tab w:val="num" w:pos="6458"/>
        </w:tabs>
        <w:ind w:left="6458" w:hanging="360"/>
      </w:pPr>
      <w:rPr>
        <w:rFonts w:cs="Times New Roman"/>
      </w:rPr>
    </w:lvl>
    <w:lvl w:ilvl="7">
      <w:start w:val="1"/>
      <w:numFmt w:val="lowerLetter"/>
      <w:lvlText w:val="%8."/>
      <w:lvlJc w:val="left"/>
      <w:pPr>
        <w:tabs>
          <w:tab w:val="num" w:pos="7178"/>
        </w:tabs>
        <w:ind w:left="7178" w:hanging="360"/>
      </w:pPr>
      <w:rPr>
        <w:rFonts w:cs="Times New Roman"/>
      </w:rPr>
    </w:lvl>
    <w:lvl w:ilvl="8">
      <w:start w:val="1"/>
      <w:numFmt w:val="lowerRoman"/>
      <w:lvlText w:val="%9."/>
      <w:lvlJc w:val="right"/>
      <w:pPr>
        <w:tabs>
          <w:tab w:val="num" w:pos="7898"/>
        </w:tabs>
        <w:ind w:left="7898" w:hanging="180"/>
      </w:pPr>
      <w:rPr>
        <w:rFonts w:cs="Times New Roman"/>
      </w:rPr>
    </w:lvl>
  </w:abstractNum>
  <w:num w:numId="1">
    <w:abstractNumId w:val="13"/>
  </w:num>
  <w:num w:numId="2">
    <w:abstractNumId w:val="1"/>
  </w:num>
  <w:num w:numId="3">
    <w:abstractNumId w:val="7"/>
  </w:num>
  <w:num w:numId="4">
    <w:abstractNumId w:val="8"/>
  </w:num>
  <w:num w:numId="5">
    <w:abstractNumId w:val="10"/>
  </w:num>
  <w:num w:numId="6">
    <w:abstractNumId w:val="12"/>
  </w:num>
  <w:num w:numId="7">
    <w:abstractNumId w:val="3"/>
  </w:num>
  <w:num w:numId="8">
    <w:abstractNumId w:val="5"/>
  </w:num>
  <w:num w:numId="9">
    <w:abstractNumId w:val="2"/>
  </w:num>
  <w:num w:numId="10">
    <w:abstractNumId w:val="6"/>
  </w:num>
  <w:num w:numId="11">
    <w:abstractNumId w:val="4"/>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0C"/>
    <w:rsid w:val="000B08A7"/>
    <w:rsid w:val="001A4635"/>
    <w:rsid w:val="001E05CC"/>
    <w:rsid w:val="003918AE"/>
    <w:rsid w:val="003F0500"/>
    <w:rsid w:val="0047240E"/>
    <w:rsid w:val="00500C35"/>
    <w:rsid w:val="005539BF"/>
    <w:rsid w:val="005C394C"/>
    <w:rsid w:val="00677C4C"/>
    <w:rsid w:val="00716E2E"/>
    <w:rsid w:val="007845BE"/>
    <w:rsid w:val="00815B65"/>
    <w:rsid w:val="00895A31"/>
    <w:rsid w:val="00A12BD9"/>
    <w:rsid w:val="00AC42D2"/>
    <w:rsid w:val="00B1501C"/>
    <w:rsid w:val="00B55AAF"/>
    <w:rsid w:val="00B5650C"/>
    <w:rsid w:val="00B8590C"/>
    <w:rsid w:val="00C465CA"/>
    <w:rsid w:val="00CD7BC1"/>
    <w:rsid w:val="00D9162F"/>
    <w:rsid w:val="00E46736"/>
    <w:rsid w:val="00E73BBF"/>
    <w:rsid w:val="00F504E1"/>
    <w:rsid w:val="00FC7CF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2868"/>
  <w15:docId w15:val="{D18B21CF-193D-4193-AA86-EC6F15DA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D6F"/>
    <w:pPr>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A93D6F"/>
    <w:pPr>
      <w:keepNext/>
      <w:keepLines/>
      <w:spacing w:after="120"/>
      <w:jc w:val="center"/>
      <w:outlineLvl w:val="1"/>
    </w:pPr>
    <w:rPr>
      <w:rFonts w:ascii="Arial Narrow" w:hAnsi="Arial Narrow"/>
      <w:b/>
      <w:sz w:val="24"/>
    </w:rPr>
  </w:style>
  <w:style w:type="paragraph" w:styleId="Nadpis6">
    <w:name w:val="heading 6"/>
    <w:basedOn w:val="Normln"/>
    <w:next w:val="Normln"/>
    <w:link w:val="Nadpis6Char"/>
    <w:qFormat/>
    <w:rsid w:val="00A93D6F"/>
    <w:pPr>
      <w:keepNext/>
      <w:tabs>
        <w:tab w:val="left" w:pos="709"/>
        <w:tab w:val="left" w:pos="1418"/>
      </w:tabs>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A93D6F"/>
    <w:rPr>
      <w:rFonts w:ascii="Arial Narrow" w:eastAsia="Times New Roman" w:hAnsi="Arial Narrow" w:cs="Times New Roman"/>
      <w:b/>
      <w:sz w:val="24"/>
      <w:szCs w:val="20"/>
      <w:lang w:eastAsia="cs-CZ"/>
    </w:rPr>
  </w:style>
  <w:style w:type="character" w:customStyle="1" w:styleId="Nadpis6Char">
    <w:name w:val="Nadpis 6 Char"/>
    <w:basedOn w:val="Standardnpsmoodstavce"/>
    <w:link w:val="Nadpis6"/>
    <w:qFormat/>
    <w:rsid w:val="00A93D6F"/>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qFormat/>
    <w:rsid w:val="00A93D6F"/>
    <w:rPr>
      <w:rFonts w:ascii="Times New Roman" w:eastAsia="Times New Roman" w:hAnsi="Times New Roman" w:cs="Times New Roman"/>
      <w:sz w:val="20"/>
      <w:szCs w:val="20"/>
      <w:lang w:eastAsia="cs-CZ"/>
    </w:rPr>
  </w:style>
  <w:style w:type="character" w:styleId="slostrnky">
    <w:name w:val="page number"/>
    <w:qFormat/>
    <w:rsid w:val="00A93D6F"/>
    <w:rPr>
      <w:rFonts w:cs="Times New Roman"/>
    </w:rPr>
  </w:style>
  <w:style w:type="character" w:customStyle="1" w:styleId="ZkladntextChar">
    <w:name w:val="Základní text Char"/>
    <w:basedOn w:val="Standardnpsmoodstavce"/>
    <w:link w:val="Zkladntext"/>
    <w:qFormat/>
    <w:rsid w:val="00A93D6F"/>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qFormat/>
    <w:rsid w:val="00A93D6F"/>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qFormat/>
    <w:rsid w:val="00A93D6F"/>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29578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F939B3"/>
    <w:rPr>
      <w:sz w:val="16"/>
      <w:szCs w:val="16"/>
    </w:rPr>
  </w:style>
  <w:style w:type="character" w:customStyle="1" w:styleId="TextkomenteChar">
    <w:name w:val="Text komentáře Char"/>
    <w:basedOn w:val="Standardnpsmoodstavce"/>
    <w:link w:val="Textkomente"/>
    <w:uiPriority w:val="99"/>
    <w:semiHidden/>
    <w:qFormat/>
    <w:rsid w:val="00F939B3"/>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F939B3"/>
    <w:rPr>
      <w:rFonts w:ascii="Times New Roman" w:eastAsia="Times New Roman" w:hAnsi="Times New Roman" w:cs="Times New Roman"/>
      <w:b/>
      <w:bCs/>
      <w:sz w:val="20"/>
      <w:szCs w:val="20"/>
      <w:lang w:eastAsia="cs-CZ"/>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A93D6F"/>
    <w:pPr>
      <w:jc w:val="both"/>
    </w:pPr>
    <w:rPr>
      <w:sz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pat">
    <w:name w:val="footer"/>
    <w:basedOn w:val="Normln"/>
    <w:link w:val="ZpatChar"/>
    <w:rsid w:val="00A93D6F"/>
    <w:pPr>
      <w:tabs>
        <w:tab w:val="center" w:pos="4536"/>
        <w:tab w:val="right" w:pos="9072"/>
      </w:tabs>
    </w:pPr>
  </w:style>
  <w:style w:type="paragraph" w:styleId="Zkladntext3">
    <w:name w:val="Body Text 3"/>
    <w:basedOn w:val="Normln"/>
    <w:link w:val="Zkladntext3Char"/>
    <w:qFormat/>
    <w:rsid w:val="00A93D6F"/>
    <w:rPr>
      <w:sz w:val="24"/>
    </w:rPr>
  </w:style>
  <w:style w:type="paragraph" w:styleId="Zhlav">
    <w:name w:val="header"/>
    <w:basedOn w:val="Normln"/>
    <w:link w:val="ZhlavChar"/>
    <w:rsid w:val="00A93D6F"/>
    <w:pPr>
      <w:tabs>
        <w:tab w:val="center" w:pos="4536"/>
        <w:tab w:val="right" w:pos="9072"/>
      </w:tabs>
    </w:pPr>
  </w:style>
  <w:style w:type="paragraph" w:customStyle="1" w:styleId="Odstavecseseznamem1">
    <w:name w:val="Odstavec se seznamem1"/>
    <w:basedOn w:val="Normln"/>
    <w:qFormat/>
    <w:rsid w:val="00A93D6F"/>
    <w:pPr>
      <w:ind w:left="708"/>
    </w:pPr>
  </w:style>
  <w:style w:type="paragraph" w:styleId="Textbubliny">
    <w:name w:val="Balloon Text"/>
    <w:basedOn w:val="Normln"/>
    <w:link w:val="TextbublinyChar"/>
    <w:uiPriority w:val="99"/>
    <w:semiHidden/>
    <w:unhideWhenUsed/>
    <w:qFormat/>
    <w:rsid w:val="00295787"/>
    <w:rPr>
      <w:rFonts w:ascii="Segoe UI" w:hAnsi="Segoe UI" w:cs="Segoe UI"/>
      <w:sz w:val="18"/>
      <w:szCs w:val="18"/>
    </w:rPr>
  </w:style>
  <w:style w:type="paragraph" w:styleId="Odstavecseseznamem">
    <w:name w:val="List Paragraph"/>
    <w:basedOn w:val="Normln"/>
    <w:uiPriority w:val="34"/>
    <w:qFormat/>
    <w:rsid w:val="007202F6"/>
    <w:pPr>
      <w:ind w:left="720"/>
      <w:contextualSpacing/>
    </w:pPr>
  </w:style>
  <w:style w:type="paragraph" w:styleId="Textkomente">
    <w:name w:val="annotation text"/>
    <w:basedOn w:val="Normln"/>
    <w:link w:val="TextkomenteChar"/>
    <w:uiPriority w:val="99"/>
    <w:semiHidden/>
    <w:unhideWhenUsed/>
    <w:qFormat/>
    <w:rsid w:val="00F939B3"/>
  </w:style>
  <w:style w:type="paragraph" w:styleId="Pedmtkomente">
    <w:name w:val="annotation subject"/>
    <w:basedOn w:val="Textkomente"/>
    <w:next w:val="Textkomente"/>
    <w:link w:val="PedmtkomenteChar"/>
    <w:uiPriority w:val="99"/>
    <w:semiHidden/>
    <w:unhideWhenUsed/>
    <w:qFormat/>
    <w:rsid w:val="00F939B3"/>
    <w:rPr>
      <w:b/>
      <w:bCs/>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04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3148</Words>
  <Characters>18575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Krajíčková</dc:creator>
  <dc:description/>
  <cp:lastModifiedBy>Jan Rázek</cp:lastModifiedBy>
  <cp:revision>4</cp:revision>
  <cp:lastPrinted>2023-04-18T07:19:00Z</cp:lastPrinted>
  <dcterms:created xsi:type="dcterms:W3CDTF">2023-04-19T07:01:00Z</dcterms:created>
  <dcterms:modified xsi:type="dcterms:W3CDTF">2023-04-19T07:22:00Z</dcterms:modified>
  <dc:language>cs-CZ</dc:language>
</cp:coreProperties>
</file>