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Smlouva na externí vedení a zpracování účetnictví</w:t>
      </w:r>
    </w:p>
    <w:p>
      <w:pPr>
        <w:pStyle w:val="Normal"/>
        <w:spacing w:before="0" w:after="0"/>
        <w:jc w:val="center"/>
        <w:rPr>
          <w:bCs/>
        </w:rPr>
      </w:pPr>
      <w:r>
        <w:rPr>
          <w:bCs/>
        </w:rPr>
        <w:t>uzavřená níže uvedeného dne, měsíce a roku ve smyslu ustanovení § 1746 zákona č. 89/2012 Sb., občanského zákoníku, ve znění pozdějších předpisů, níže uvedenými smluvními stranami</w:t>
      </w:r>
    </w:p>
    <w:p>
      <w:pPr>
        <w:pStyle w:val="Normal"/>
        <w:spacing w:before="0" w:after="0"/>
        <w:jc w:val="center"/>
        <w:rPr>
          <w:bCs/>
        </w:rPr>
      </w:pPr>
      <w:r>
        <w:rPr>
          <w:bCs/>
        </w:rPr>
        <w:t>(dále jako „Smlouva“</w:t>
      </w:r>
      <w:bookmarkStart w:id="0" w:name="_GoBack"/>
      <w:bookmarkEnd w:id="0"/>
      <w:r>
        <w:rPr>
          <w:bCs/>
        </w:rPr>
        <w:t>)</w:t>
      </w:r>
    </w:p>
    <w:p>
      <w:pPr>
        <w:pStyle w:val="Normal"/>
        <w:spacing w:before="0" w:after="0"/>
        <w:jc w:val="center"/>
        <w:rPr>
          <w:bCs/>
        </w:rPr>
      </w:pPr>
      <w:r>
        <w:rPr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Smluvní strany:</w:t>
      </w:r>
    </w:p>
    <w:p>
      <w:pPr>
        <w:pStyle w:val="NoSpacing"/>
        <w:rPr>
          <w:b/>
          <w:b/>
        </w:rPr>
      </w:pPr>
      <w:r>
        <w:rPr>
          <w:b/>
        </w:rPr>
        <w:t>Aquacentrum Vrchlabí p.o.</w:t>
      </w:r>
    </w:p>
    <w:p>
      <w:pPr>
        <w:pStyle w:val="NoSpacing"/>
        <w:rPr/>
      </w:pPr>
      <w:r>
        <w:rPr/>
        <w:t>Zastoupen: Jiřím Duškem, ředitelem</w:t>
      </w:r>
    </w:p>
    <w:p>
      <w:pPr>
        <w:pStyle w:val="NoSpacing"/>
        <w:rPr/>
      </w:pPr>
      <w:r>
        <w:rPr/>
        <w:t xml:space="preserve">se sídlem: Zámek č.1, 543 01 Vrchlabí </w:t>
      </w:r>
    </w:p>
    <w:p>
      <w:pPr>
        <w:pStyle w:val="NoSpacing"/>
        <w:rPr/>
      </w:pPr>
      <w:r>
        <w:rPr/>
        <w:t>IČ: 111964308</w:t>
      </w:r>
    </w:p>
    <w:p>
      <w:pPr>
        <w:pStyle w:val="Normal"/>
        <w:rPr/>
      </w:pPr>
      <w:r>
        <w:rPr/>
        <w:t xml:space="preserve">dále jen „objednatel“ </w:t>
      </w:r>
    </w:p>
    <w:p>
      <w:pPr>
        <w:pStyle w:val="Normal"/>
        <w:spacing w:before="120" w:after="120"/>
        <w:rPr/>
      </w:pPr>
      <w:r>
        <w:rPr/>
        <w:t xml:space="preserve">a </w:t>
      </w:r>
    </w:p>
    <w:p>
      <w:pPr>
        <w:pStyle w:val="NoSpacing"/>
        <w:rPr>
          <w:b/>
          <w:b/>
        </w:rPr>
      </w:pPr>
      <w:r>
        <w:rPr>
          <w:b/>
        </w:rPr>
        <w:t>Eva Kalenská</w:t>
      </w:r>
    </w:p>
    <w:p>
      <w:pPr>
        <w:pStyle w:val="NoSpacing"/>
        <w:rPr/>
      </w:pPr>
      <w:r>
        <w:rPr/>
        <w:t>Vančurova 364, 543 01, Vrchlabí</w:t>
      </w:r>
    </w:p>
    <w:p>
      <w:pPr>
        <w:pStyle w:val="NoSpacing"/>
        <w:rPr/>
      </w:pPr>
      <w:r>
        <w:rPr/>
        <w:t>IČ 60911565</w:t>
      </w:r>
    </w:p>
    <w:p>
      <w:pPr>
        <w:pStyle w:val="NoSpacing"/>
        <w:rPr/>
      </w:pPr>
      <w:r>
        <w:rPr/>
        <w:t>dále jen „poskytovatel“</w:t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b/>
          <w:b/>
        </w:rPr>
      </w:pPr>
      <w:r>
        <w:rPr>
          <w:b/>
        </w:rPr>
        <w:t>Preambule</w:t>
      </w:r>
    </w:p>
    <w:p>
      <w:pPr>
        <w:pStyle w:val="NoSpacing"/>
        <w:jc w:val="both"/>
        <w:rPr/>
      </w:pPr>
      <w:r>
        <w:rPr/>
        <w:t xml:space="preserve">Poskytovatel prohlašuje, že je na základě příslušných živnostenských oprávnění a v souladu se zápisem v živnostenském rejstříku oprávněn k činnostem, jejichž provozování je nezbytné k splnění povinností vyplývajících pro něho z této smlouvy. </w:t>
      </w:r>
    </w:p>
    <w:p>
      <w:pPr>
        <w:pStyle w:val="NoSpacing"/>
        <w:jc w:val="both"/>
        <w:rPr>
          <w:rFonts w:ascii="Calibri" w:hAnsi="Calibri" w:eastAsia="Calibri" w:cs="Arial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Arial" w:cstheme="minorBidi" w:eastAsiaTheme="minorHAnsi"/>
          <w:shd w:fill="auto" w:val="clear"/>
        </w:rPr>
        <w:t xml:space="preserve">Poskytovatel dále prohlašuje, že má uzavřenou smlouvu o pojištění odpovědnosti za újmu způsobenou výkonem činnosti v dostatečném rozsahu, která je předmětem této smlouvy a bude ji udržovat v platnosti po celou dobu poskytování služeb dle této smlouvy.   </w:t>
      </w:r>
    </w:p>
    <w:p>
      <w:pPr>
        <w:pStyle w:val="NoSpacing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bCs/>
        </w:rPr>
      </w:pPr>
      <w:r>
        <w:rPr>
          <w:b/>
          <w:bCs/>
        </w:rPr>
        <w:t>Předmět smlouvy</w:t>
      </w:r>
    </w:p>
    <w:p>
      <w:pPr>
        <w:pStyle w:val="ListParagraph"/>
        <w:numPr>
          <w:ilvl w:val="0"/>
          <w:numId w:val="2"/>
        </w:numPr>
        <w:spacing w:before="120" w:after="120"/>
        <w:ind w:left="567" w:hanging="567"/>
        <w:contextualSpacing w:val="false"/>
        <w:jc w:val="both"/>
        <w:rPr/>
      </w:pPr>
      <w:r>
        <w:rPr/>
        <w:t>Předmětem této smlouvy je úprava práv a povinností související s poskytováním služeb spočívajících v činnostech týkajících se vedení účetnictví, zahrnující zajištění organizační, administrativní a technické stránky účetní a ekonomické agendy činnosti objednatele a souvisejícího poradenství ze strany poskytovatele ve prospěch objednatele.</w:t>
      </w:r>
    </w:p>
    <w:p>
      <w:pPr>
        <w:pStyle w:val="ListParagraph"/>
        <w:numPr>
          <w:ilvl w:val="0"/>
          <w:numId w:val="2"/>
        </w:numPr>
        <w:spacing w:before="120" w:after="120"/>
        <w:ind w:left="567" w:hanging="567"/>
        <w:contextualSpacing w:val="false"/>
        <w:jc w:val="both"/>
        <w:rPr/>
      </w:pPr>
      <w:r>
        <w:rPr/>
        <w:t>Poskytovatel se zavazuje pro objednatele za podmínek stanovených v této smlouvě vést a zpracovávat jeho účetnictví v souladu se zákonem č. 563/1991 Sb., o účetnictví, ve znění pozdějších předpisů a souvisejícími právními předpisy. Objednatel se zavazuje tyto služby a plnění přijmout a zaplatit poskytovateli odměnu za podmínek stanovených touto smlouvou.</w:t>
      </w:r>
    </w:p>
    <w:p>
      <w:pPr>
        <w:pStyle w:val="ListParagraph"/>
        <w:numPr>
          <w:ilvl w:val="0"/>
          <w:numId w:val="2"/>
        </w:numPr>
        <w:spacing w:before="120" w:after="120"/>
        <w:ind w:left="567" w:hanging="567"/>
        <w:contextualSpacing w:val="false"/>
        <w:jc w:val="both"/>
        <w:rPr/>
      </w:pPr>
      <w:r>
        <w:rPr/>
        <w:t>Poskytovatel se zavazuje zajišťovat výše uvedené činnosti v tomto rozsahu: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Zpracování poskytnuté účetní doklady za účelem zajištění věrného a úplného obrazu hospodaření objednatele včetně účetních knih a účetní evidence;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 xml:space="preserve">Vedení a zpracování kompletní mzdové a personální agendy objednatele 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Zpracování účetních závěrek objednatele;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Zpracování daňových přiznání a kontrolních hlášení (DPH, DPPO, a další), která s činností objednatele souvisejí;</w:t>
      </w:r>
    </w:p>
    <w:p>
      <w:pPr>
        <w:pStyle w:val="ListParagraph"/>
        <w:numPr>
          <w:ilvl w:val="1"/>
          <w:numId w:val="2"/>
        </w:numPr>
        <w:jc w:val="both"/>
        <w:rPr>
          <w:rFonts w:cs="Calibri" w:cstheme="minorHAnsi"/>
        </w:rPr>
      </w:pPr>
      <w:r>
        <w:rPr/>
        <w:t xml:space="preserve">Provádění jiných činností dle pokynů objednatele souvisejících výlučně se </w:t>
      </w:r>
      <w:r>
        <w:rPr>
          <w:rFonts w:cs="Calibri" w:cstheme="minorHAnsi"/>
        </w:rPr>
        <w:t>zpracováním a vedením účetní, mzdové a personální agendy</w:t>
      </w:r>
    </w:p>
    <w:p>
      <w:pPr>
        <w:pStyle w:val="ListParagraph"/>
        <w:numPr>
          <w:ilvl w:val="1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zúčastňovat se na požádání spolu s objednatelem případných kontrol finančního úřadu (dále jen "</w:t>
      </w:r>
      <w:r>
        <w:rPr>
          <w:rFonts w:cs="Calibri" w:cstheme="minorHAnsi"/>
          <w:b/>
        </w:rPr>
        <w:t>FÚ</w:t>
      </w:r>
      <w:r>
        <w:rPr>
          <w:rFonts w:cs="Calibri" w:cstheme="minorHAnsi"/>
        </w:rPr>
        <w:t>"), zdravotní pojišťovny (dále jen "</w:t>
      </w:r>
      <w:r>
        <w:rPr>
          <w:rFonts w:cs="Calibri" w:cstheme="minorHAnsi"/>
          <w:b/>
        </w:rPr>
        <w:t>ZP</w:t>
      </w:r>
      <w:r>
        <w:rPr>
          <w:rFonts w:cs="Calibri" w:cstheme="minorHAnsi"/>
        </w:rPr>
        <w:t>") a správy sociálního zabezpečení (dále jen "</w:t>
      </w:r>
      <w:r>
        <w:rPr>
          <w:rFonts w:cs="Calibri" w:cstheme="minorHAnsi"/>
          <w:b/>
        </w:rPr>
        <w:t>SSZ</w:t>
      </w:r>
      <w:r>
        <w:rPr>
          <w:rFonts w:cs="Calibri" w:cstheme="minorHAnsi"/>
        </w:rPr>
        <w:t>");</w:t>
      </w:r>
    </w:p>
    <w:p>
      <w:pPr>
        <w:pStyle w:val="ListParagraph"/>
        <w:numPr>
          <w:ilvl w:val="1"/>
          <w:numId w:val="2"/>
        </w:numPr>
        <w:spacing w:before="0" w:after="160"/>
        <w:ind w:left="1502" w:hanging="357"/>
        <w:contextualSpacing w:val="false"/>
        <w:jc w:val="both"/>
        <w:rPr/>
      </w:pPr>
      <w:r>
        <w:rPr>
          <w:rFonts w:cs="Calibri" w:cstheme="minorHAnsi"/>
        </w:rPr>
        <w:t xml:space="preserve">upozornit objednatele na jeho zákonné povinnosti dle zákona č. 563/1991 Sb., o účetnictví, ve znění pozdějších předpisů a souvisejících právních předpisů.  </w:t>
      </w:r>
    </w:p>
    <w:p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false"/>
        <w:jc w:val="center"/>
        <w:rPr>
          <w:b/>
          <w:b/>
        </w:rPr>
      </w:pPr>
      <w:r>
        <w:rPr>
          <w:b/>
        </w:rPr>
        <w:t>Práva a povinnosti smluvních stran</w:t>
      </w:r>
    </w:p>
    <w:p>
      <w:pPr>
        <w:pStyle w:val="ListParagraph"/>
        <w:numPr>
          <w:ilvl w:val="0"/>
          <w:numId w:val="3"/>
        </w:numPr>
        <w:spacing w:before="120" w:after="120"/>
        <w:ind w:left="567" w:hanging="567"/>
        <w:contextualSpacing w:val="false"/>
        <w:jc w:val="both"/>
        <w:rPr/>
      </w:pPr>
      <w:r>
        <w:rPr/>
        <w:t xml:space="preserve">Poskytovatel se zavazuje činnosti dle této smlouvy provádět náležitou odbornou péčí při soustavném dodržování termínů stanovených obecně závaznými předpisy souvisejícími s předmětem této smlouvy. </w:t>
      </w:r>
    </w:p>
    <w:p>
      <w:pPr>
        <w:pStyle w:val="ListParagraph"/>
        <w:numPr>
          <w:ilvl w:val="0"/>
          <w:numId w:val="3"/>
        </w:numPr>
        <w:spacing w:before="120" w:after="120"/>
        <w:ind w:left="567" w:hanging="567"/>
        <w:contextualSpacing w:val="false"/>
        <w:jc w:val="both"/>
        <w:rPr/>
      </w:pPr>
      <w:r>
        <w:rPr/>
        <w:t xml:space="preserve">Činnost dle této smlouvy provádí poskytovatel v sídle objednatele a v místě sídla své firmy. Zpracované účetní doklady, stejně jako jiná účetní a personální agenda, budou uchovávány v sídle objednatele. Termín pro zpracování dokladů je vždy do 10. dne v měsíci následujícím po měsíci, kterého se účetní doklady týkají, nebude-li smluvními stranami dohodnuto jinak. </w:t>
      </w:r>
    </w:p>
    <w:p>
      <w:pPr>
        <w:pStyle w:val="ListParagraph"/>
        <w:numPr>
          <w:ilvl w:val="0"/>
          <w:numId w:val="3"/>
        </w:numPr>
        <w:spacing w:before="120" w:after="120"/>
        <w:ind w:left="567" w:hanging="567"/>
        <w:contextualSpacing w:val="false"/>
        <w:jc w:val="both"/>
        <w:rPr/>
      </w:pPr>
      <w:r>
        <w:rPr/>
        <w:t>Poskytovatel je dle této Smlouvy oprávněn:</w:t>
      </w:r>
    </w:p>
    <w:p>
      <w:pPr>
        <w:pStyle w:val="ListParagraph"/>
        <w:numPr>
          <w:ilvl w:val="0"/>
          <w:numId w:val="4"/>
        </w:numPr>
        <w:spacing w:before="0" w:after="0"/>
        <w:ind w:left="1559" w:hanging="425"/>
        <w:contextualSpacing w:val="false"/>
        <w:jc w:val="both"/>
        <w:rPr/>
      </w:pPr>
      <w:r>
        <w:rPr/>
        <w:t>vyžádat si od objednatele veškeré nezbytné podklady potřebné k řádnému a včasnému plnění povinností dle této Smlouvy;</w:t>
      </w:r>
    </w:p>
    <w:p>
      <w:pPr>
        <w:pStyle w:val="ListParagraph"/>
        <w:numPr>
          <w:ilvl w:val="0"/>
          <w:numId w:val="4"/>
        </w:numPr>
        <w:spacing w:before="0" w:after="0"/>
        <w:ind w:left="1559" w:hanging="425"/>
        <w:contextualSpacing w:val="false"/>
        <w:jc w:val="both"/>
        <w:rPr/>
      </w:pPr>
      <w:r>
        <w:rPr/>
        <w:t>odmítnout objednatelem poskytnuté podklady, které poskytovatel posoudil v rámci své činnosti pro objednatele jako nedostatečné nebo vadné, a dále nedbat těch pokynů objednatele, které poskytovatel shledal za rozporné s platnými právními předpisy či dobrými mravy;</w:t>
      </w:r>
    </w:p>
    <w:p>
      <w:pPr>
        <w:pStyle w:val="ListParagraph"/>
        <w:numPr>
          <w:ilvl w:val="0"/>
          <w:numId w:val="4"/>
        </w:numPr>
        <w:spacing w:before="0" w:after="0"/>
        <w:ind w:left="1559" w:hanging="425"/>
        <w:contextualSpacing w:val="false"/>
        <w:jc w:val="both"/>
        <w:rPr/>
      </w:pPr>
      <w:r>
        <w:rPr/>
        <w:t>využít k poskytování plnění dle této Smlouvy třetí osobu, přičemž za kvalitu a včasnost poskytnutých plnění v takovém případě odpovídá stejným způsobem, jako by plnění poskytoval osobně.</w:t>
      </w:r>
    </w:p>
    <w:p>
      <w:pPr>
        <w:pStyle w:val="ListParagraph"/>
        <w:numPr>
          <w:ilvl w:val="0"/>
          <w:numId w:val="3"/>
        </w:numPr>
        <w:spacing w:before="120" w:after="120"/>
        <w:ind w:left="567" w:hanging="567"/>
        <w:contextualSpacing w:val="false"/>
        <w:jc w:val="both"/>
        <w:rPr/>
      </w:pPr>
      <w:r>
        <w:rPr/>
        <w:t>Objednatel je dle této Smlouvy oprávněn:</w:t>
      </w:r>
    </w:p>
    <w:p>
      <w:pPr>
        <w:pStyle w:val="ListParagraph"/>
        <w:numPr>
          <w:ilvl w:val="0"/>
          <w:numId w:val="5"/>
        </w:numPr>
        <w:spacing w:before="0" w:after="0"/>
        <w:ind w:left="1559" w:hanging="425"/>
        <w:contextualSpacing w:val="false"/>
        <w:jc w:val="both"/>
        <w:rPr/>
      </w:pPr>
      <w:r>
        <w:rPr/>
        <w:t>nahlížet do účetní a mzdové dokumentace, kterou vede poskytovatel a žádat vyhotovení výpisů, opisů, kopií, případně vydání originálů dokumentů, je-li to s ohledem na účel činnosti poskytovatele možné;</w:t>
      </w:r>
    </w:p>
    <w:p>
      <w:pPr>
        <w:pStyle w:val="ListParagraph"/>
        <w:numPr>
          <w:ilvl w:val="0"/>
          <w:numId w:val="5"/>
        </w:numPr>
        <w:spacing w:before="0" w:after="0"/>
        <w:ind w:left="1559" w:hanging="425"/>
        <w:contextualSpacing w:val="false"/>
        <w:jc w:val="both"/>
        <w:rPr/>
      </w:pPr>
      <w:r>
        <w:rPr/>
        <w:t>obracet se na poskytovatele s dotazy ohledně rozsahu svých povinností vedení účetnictví a mzdové agendy dle platných právních předpisů.</w:t>
      </w:r>
    </w:p>
    <w:p>
      <w:pPr>
        <w:pStyle w:val="ListParagraph"/>
        <w:numPr>
          <w:ilvl w:val="0"/>
          <w:numId w:val="3"/>
        </w:numPr>
        <w:spacing w:before="120" w:after="120"/>
        <w:ind w:left="567" w:hanging="567"/>
        <w:contextualSpacing w:val="false"/>
        <w:jc w:val="both"/>
        <w:rPr/>
      </w:pPr>
      <w:r>
        <w:rPr/>
        <w:t>Poskytovatel je dle této Smlouvy povinen:</w:t>
      </w:r>
    </w:p>
    <w:p>
      <w:pPr>
        <w:pStyle w:val="ListParagraph"/>
        <w:numPr>
          <w:ilvl w:val="1"/>
          <w:numId w:val="3"/>
        </w:numPr>
        <w:spacing w:before="0" w:after="0"/>
        <w:ind w:left="1502" w:hanging="357"/>
        <w:contextualSpacing w:val="false"/>
        <w:jc w:val="both"/>
        <w:rPr/>
      </w:pPr>
      <w:r>
        <w:rPr/>
        <w:t>chránit zájmy objednatele a v souvislosti s činností realizovanou na základě této smlouvy, postupovat profesionálně, s odbornou péčí a v souladu se zájmy objednatele, které mu jsou anebo musí být známy, při respektování veškerých právních předpisů platných v České republice a to tak, aby mu nevznikla poskytováním služeb poskytovatele, jakákoli újma,</w:t>
      </w:r>
    </w:p>
    <w:p>
      <w:pPr>
        <w:pStyle w:val="ListParagraph"/>
        <w:numPr>
          <w:ilvl w:val="1"/>
          <w:numId w:val="3"/>
        </w:numPr>
        <w:spacing w:before="0" w:after="0"/>
        <w:ind w:left="1502" w:hanging="357"/>
        <w:contextualSpacing w:val="false"/>
        <w:jc w:val="both"/>
        <w:rPr/>
      </w:pPr>
      <w:r>
        <w:rPr/>
        <w:t>oznámit objednateli všechny okolnosti, které zjistil při zařizování záležitosti a jež mohou mít vliv na změnu pokynů objednatele. Objednatel je povinen se k těmto okolnostem bez prodlení vyjádřit; nedojde-li ke změně pokynů objednatele na základě sdělení poskytovatele, postupuje poskytovatel podle původních pokynů objednatele a tak, aby bylo možno zařídit záležitost a dosáhnout účelu této smlouvy,</w:t>
      </w:r>
    </w:p>
    <w:p>
      <w:pPr>
        <w:pStyle w:val="ListParagraph"/>
        <w:numPr>
          <w:ilvl w:val="1"/>
          <w:numId w:val="3"/>
        </w:numPr>
        <w:spacing w:before="0" w:after="0"/>
        <w:ind w:left="1502" w:hanging="357"/>
        <w:contextualSpacing w:val="false"/>
        <w:jc w:val="both"/>
        <w:rPr/>
      </w:pPr>
      <w:r>
        <w:rPr/>
        <w:t>použít předané materiály a získané informace pouze pro účely naplnění předmětu této smlouvy a nepředávat je třetím osobám bez souhlasu objednatele, vyjma případů, kdy takovou povinnost zhotovitele ukládá zákon;</w:t>
      </w:r>
    </w:p>
    <w:p>
      <w:pPr>
        <w:pStyle w:val="ListParagraph"/>
        <w:numPr>
          <w:ilvl w:val="1"/>
          <w:numId w:val="3"/>
        </w:numPr>
        <w:spacing w:before="0" w:after="0"/>
        <w:ind w:left="1502" w:hanging="357"/>
        <w:contextualSpacing w:val="false"/>
        <w:jc w:val="both"/>
        <w:rPr/>
      </w:pPr>
      <w:r>
        <w:rPr/>
        <w:t xml:space="preserve">v případě ukončení této Smlouvy protokolárně předat objednateli kompletní dokumentaci, kterou má poskytovatel k dispozici pro účely plnění této Smlouvy či kterou byl v souladu s touto Smlouvu povinen vyhotovit, a to v přiměřené lhůtě po ukončení Smlouvy a po předchozí dohodě mezi Smluvními stranami. Zároveň je poskytovatel objednateli odevzdat veškeré pracovní prostředky, které mu objednatel k plnění dle této Smlouvy poskytl (např. mobilní telefon, PC, účetní program spolu s licencí atp.) </w:t>
      </w:r>
    </w:p>
    <w:p>
      <w:pPr>
        <w:pStyle w:val="ListParagraph"/>
        <w:numPr>
          <w:ilvl w:val="0"/>
          <w:numId w:val="3"/>
        </w:numPr>
        <w:spacing w:before="120" w:after="120"/>
        <w:ind w:left="567" w:hanging="567"/>
        <w:contextualSpacing w:val="false"/>
        <w:jc w:val="both"/>
        <w:rPr/>
      </w:pPr>
      <w:r>
        <w:rPr/>
        <w:t>Objednatel je dle této Smlouvy povinen:</w:t>
      </w:r>
    </w:p>
    <w:p>
      <w:pPr>
        <w:pStyle w:val="ListParagraph"/>
        <w:numPr>
          <w:ilvl w:val="1"/>
          <w:numId w:val="3"/>
        </w:numPr>
        <w:spacing w:before="120" w:after="120"/>
        <w:contextualSpacing w:val="false"/>
        <w:jc w:val="both"/>
        <w:rPr/>
      </w:pPr>
      <w:r>
        <w:rPr/>
        <w:t>poskytnout Poskytovateli k výkonu činností dle této smlouvy tyto pracovní nástroje:</w:t>
      </w:r>
    </w:p>
    <w:p>
      <w:pPr>
        <w:pStyle w:val="ListParagraph"/>
        <w:numPr>
          <w:ilvl w:val="0"/>
          <w:numId w:val="0"/>
        </w:numPr>
        <w:spacing w:before="120" w:after="120"/>
        <w:ind w:left="2226" w:hanging="0"/>
        <w:contextualSpacing w:val="false"/>
        <w:jc w:val="both"/>
        <w:rPr>
          <w:rFonts w:ascii="Calibri" w:hAnsi="Calibri" w:eastAsia="Calibri" w:cs="Arial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Arial" w:cstheme="minorBidi" w:eastAsiaTheme="minorHAnsi"/>
          <w:shd w:fill="auto" w:val="clear"/>
        </w:rPr>
        <w:t>účetní software ALIS Software</w:t>
      </w:r>
    </w:p>
    <w:p>
      <w:pPr>
        <w:pStyle w:val="ListParagraph"/>
        <w:spacing w:before="120" w:after="120"/>
        <w:ind w:left="1506" w:hanging="0"/>
        <w:contextualSpacing w:val="false"/>
        <w:jc w:val="both"/>
        <w:rPr/>
      </w:pPr>
      <w:r>
        <w:rPr/>
        <w:t>Poskytnuté pracovní nástroje je Poskytovatel oprávněn užívat výlučně při provádění činností dle této smlouvy pro objednatele. Pracovní nástroje zůstávají majetkem objednatele;</w:t>
      </w:r>
    </w:p>
    <w:p>
      <w:pPr>
        <w:pStyle w:val="ListParagraph"/>
        <w:numPr>
          <w:ilvl w:val="1"/>
          <w:numId w:val="3"/>
        </w:numPr>
        <w:spacing w:before="120" w:after="120"/>
        <w:contextualSpacing w:val="false"/>
        <w:jc w:val="both"/>
        <w:rPr/>
      </w:pPr>
      <w:r>
        <w:rPr/>
        <w:t>zabezpečit kontrolu věcné správnosti účetních dokladů a jednoznačně určit účel účetní operace. Objednatel odpovídá za vyloučení duplicity předaných dokladů;</w:t>
      </w:r>
    </w:p>
    <w:p>
      <w:pPr>
        <w:pStyle w:val="ListParagraph"/>
        <w:numPr>
          <w:ilvl w:val="1"/>
          <w:numId w:val="3"/>
        </w:numPr>
        <w:spacing w:before="120" w:after="120"/>
        <w:contextualSpacing w:val="false"/>
        <w:jc w:val="both"/>
        <w:rPr>
          <w:sz w:val="18"/>
        </w:rPr>
      </w:pPr>
      <w:r>
        <w:rPr>
          <w:rStyle w:val="Markedcontent"/>
          <w:szCs w:val="28"/>
        </w:rPr>
        <w:t>schraňovat a řádně a včas předávat poskytovateli k výkonu jeho činnosti veškeré relevantní doklady, informace</w:t>
      </w:r>
      <w:r>
        <w:rPr>
          <w:sz w:val="18"/>
        </w:rPr>
        <w:t xml:space="preserve"> </w:t>
      </w:r>
      <w:r>
        <w:rPr>
          <w:rStyle w:val="Markedcontent"/>
          <w:szCs w:val="28"/>
        </w:rPr>
        <w:t>a další podklady, a to ve správné, úplné, čitelné a srozumitelné podobě. V případě dodatečných změn poskytnutých</w:t>
      </w:r>
      <w:r>
        <w:rPr>
          <w:sz w:val="18"/>
        </w:rPr>
        <w:t xml:space="preserve"> </w:t>
      </w:r>
      <w:r>
        <w:rPr>
          <w:rStyle w:val="Markedcontent"/>
          <w:szCs w:val="28"/>
        </w:rPr>
        <w:t>podkladů je Objednatel povinen Poskytovatele na tyto změny bez zbytečného odkladu upozornit a doplnit</w:t>
      </w:r>
      <w:r>
        <w:rPr>
          <w:sz w:val="18"/>
        </w:rPr>
        <w:t xml:space="preserve"> </w:t>
      </w:r>
      <w:r>
        <w:rPr>
          <w:rStyle w:val="Markedcontent"/>
          <w:szCs w:val="28"/>
        </w:rPr>
        <w:t>správné a úplné podklady;</w:t>
      </w:r>
    </w:p>
    <w:p>
      <w:pPr>
        <w:pStyle w:val="ListParagraph"/>
        <w:numPr>
          <w:ilvl w:val="1"/>
          <w:numId w:val="3"/>
        </w:numPr>
        <w:spacing w:before="120" w:after="120"/>
        <w:contextualSpacing w:val="false"/>
        <w:jc w:val="both"/>
        <w:rPr/>
      </w:pPr>
      <w:r>
        <w:rPr/>
        <w:t xml:space="preserve">vytvořit pro účetní podmínky odpovídající sjednanému výkonu činnosti a současně se zavazuje poskytovat další doplňující informace nezbytné pro sjednaný výkon činnosti účetní. V případě nedodržení tohoto ustanovení a neposkytnutí požadovaných informací, neodpovídá účetní za případné vzniklé škody. Objednatel se zavazuje, že nezamlčí informace týkající se předmětu této smlouvy. </w:t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Odpovědnost poskytovatele</w:t>
      </w:r>
    </w:p>
    <w:p>
      <w:pPr>
        <w:pStyle w:val="Normal"/>
        <w:numPr>
          <w:ilvl w:val="0"/>
          <w:numId w:val="6"/>
        </w:numPr>
        <w:spacing w:lineRule="auto" w:line="276" w:before="120" w:after="120"/>
        <w:ind w:left="567" w:right="51" w:hanging="567"/>
        <w:jc w:val="both"/>
        <w:rPr>
          <w:rFonts w:cs="Calibri" w:cstheme="minorHAnsi"/>
        </w:rPr>
      </w:pPr>
      <w:r>
        <w:rPr>
          <w:rFonts w:cs="Calibri" w:cstheme="minorHAnsi"/>
        </w:rPr>
        <w:t>Poskytovatel odpovídá objednateli za újmu (nap</w:t>
      </w:r>
      <w:r>
        <w:rPr>
          <w:rFonts w:cs="Calibri" w:cstheme="minorHAnsi"/>
          <w:shd w:fill="auto" w:val="clear"/>
        </w:rPr>
        <w:t>ř. doměření daně, úr</w:t>
      </w:r>
      <w:r>
        <w:rPr>
          <w:rFonts w:cs="Calibri" w:cstheme="minorHAnsi"/>
        </w:rPr>
        <w:t>ok z prodlení, pokuta), která mu vznikla prokazatelným porušením povinností poskytovatele stanovených touto smlouvou nebo příslušnými právními předpisy.</w:t>
      </w:r>
    </w:p>
    <w:p>
      <w:pPr>
        <w:pStyle w:val="Normal"/>
        <w:numPr>
          <w:ilvl w:val="0"/>
          <w:numId w:val="6"/>
        </w:numPr>
        <w:spacing w:lineRule="auto" w:line="276" w:before="120" w:after="120"/>
        <w:ind w:left="567" w:right="51" w:hanging="567"/>
        <w:jc w:val="both"/>
        <w:rPr>
          <w:rFonts w:cs="Calibri" w:cstheme="minorHAnsi"/>
        </w:rPr>
      </w:pPr>
      <w:r>
        <w:rPr>
          <w:rFonts w:cs="Calibri" w:cstheme="minorHAnsi"/>
        </w:rPr>
        <w:t>Poskytovatel odpovídá za správné zaúčtování všech předaných dokladů z hlediska zákona o účetnictví a dalších souvisejících zákonů. Poskytovatel však neodpovídá za pravost a úplnost dokladů poskytnutých objednatelem ani za správnost a úplnost informací předaných objednatelem. Poskytovatel neodpovídá ani neposuzuje, zda informace uvedené na účetních a daňových dokladech odpovídají skutečnosti.</w:t>
      </w:r>
    </w:p>
    <w:p>
      <w:pPr>
        <w:pStyle w:val="ListParagraph"/>
        <w:numPr>
          <w:ilvl w:val="0"/>
          <w:numId w:val="6"/>
        </w:numPr>
        <w:spacing w:before="120" w:after="120"/>
        <w:ind w:left="567" w:hanging="567"/>
        <w:contextualSpacing w:val="false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Poskytovatel odpovídá za včasné vyhotovení dokladů, výkazů a dalších dokumentů, které jsou vázány termínem odevzdání/podání obecně závaznými právními předpisy a úhrady za podmínky, že od objednatele obdržel potřebné podklady v rozsahu a termínu sjednaném touto smlouvou. </w:t>
      </w:r>
    </w:p>
    <w:p>
      <w:pPr>
        <w:pStyle w:val="ListParagraph"/>
        <w:numPr>
          <w:ilvl w:val="0"/>
          <w:numId w:val="6"/>
        </w:numPr>
        <w:spacing w:before="120" w:after="120"/>
        <w:ind w:left="567" w:hanging="567"/>
        <w:contextualSpacing w:val="false"/>
        <w:jc w:val="both"/>
        <w:rPr>
          <w:rFonts w:cs="Calibri" w:cstheme="minorHAnsi"/>
        </w:rPr>
      </w:pPr>
      <w:r>
        <w:rPr>
          <w:rFonts w:cs="Calibri" w:cstheme="minorHAnsi"/>
        </w:rPr>
        <w:t>Smluvní strany výslovně prohlašují a ujednávají, že poskytovatel neodpovídá za újmu, která vznikla objednateli v důsledku prodlení objednatele s předložením podkladů pro zpracování dle této smlouvy, nebo v důsledku předložení neúplných nebo nesprávných podkladů.</w:t>
      </w:r>
    </w:p>
    <w:p>
      <w:pPr>
        <w:pStyle w:val="ListParagraph"/>
        <w:numPr>
          <w:ilvl w:val="0"/>
          <w:numId w:val="6"/>
        </w:numPr>
        <w:spacing w:before="0" w:after="160"/>
        <w:ind w:left="709" w:hanging="709"/>
        <w:contextualSpacing w:val="false"/>
        <w:rPr>
          <w:rFonts w:cs="Calibri" w:cstheme="minorHAnsi"/>
        </w:rPr>
      </w:pPr>
      <w:r>
        <w:rPr>
          <w:rFonts w:cs="Calibri" w:cstheme="minorHAnsi"/>
        </w:rPr>
        <w:t>Poskytovatel neodpovídá za pozdní nebo chybné platby daní, pojištění, penále apod. ze strany objednatele.</w:t>
      </w:r>
    </w:p>
    <w:p>
      <w:pPr>
        <w:pStyle w:val="ListParagraph"/>
        <w:spacing w:before="0" w:after="160"/>
        <w:ind w:left="709" w:hanging="709"/>
        <w:contextualSpacing w:val="fals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before="0" w:after="160"/>
        <w:ind w:left="709" w:hanging="709"/>
        <w:contextualSpacing w:val="fals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before="120" w:after="160"/>
        <w:ind w:left="714" w:hanging="357"/>
        <w:contextualSpacing w:val="false"/>
        <w:jc w:val="center"/>
        <w:rPr>
          <w:b/>
          <w:b/>
          <w:bCs/>
        </w:rPr>
      </w:pPr>
      <w:r>
        <w:rPr>
          <w:b/>
          <w:bCs/>
        </w:rPr>
        <w:t>Ochrana osobních údajů, obchodního tajemství a povinnost mlčenlivosti</w:t>
      </w:r>
    </w:p>
    <w:p>
      <w:pPr>
        <w:pStyle w:val="ListParagraph"/>
        <w:numPr>
          <w:ilvl w:val="0"/>
          <w:numId w:val="7"/>
        </w:numPr>
        <w:ind w:left="720" w:hanging="720"/>
        <w:jc w:val="both"/>
        <w:rPr/>
      </w:pPr>
      <w:r>
        <w:rPr/>
        <w:t xml:space="preserve">Poskytovatel je povinen zachovávat mlčenlivost o všech skutečnostech, které se dozví v souvislosti s poskytováním plnění souvisejících s účetní, personální a ostatní agendou objednatele. </w:t>
      </w:r>
    </w:p>
    <w:p>
      <w:pPr>
        <w:pStyle w:val="ListParagraph"/>
        <w:numPr>
          <w:ilvl w:val="0"/>
          <w:numId w:val="7"/>
        </w:numPr>
        <w:spacing w:before="120" w:after="120"/>
        <w:ind w:left="720" w:hanging="720"/>
        <w:contextualSpacing w:val="false"/>
        <w:jc w:val="both"/>
        <w:rPr/>
      </w:pPr>
      <w:r>
        <w:rPr/>
        <w:t>Poskytovatel je povinen přijmout příslušná organizační a technická opatření k zachování mlčenlivosti a ochraně osobních údajů a obchodního tajemství a je si vědom, že tato povinnost mlčenlivosti je časově neomezená.</w:t>
      </w:r>
    </w:p>
    <w:p>
      <w:pPr>
        <w:pStyle w:val="ListParagraph"/>
        <w:numPr>
          <w:ilvl w:val="0"/>
          <w:numId w:val="7"/>
        </w:numPr>
        <w:spacing w:before="120" w:after="120"/>
        <w:ind w:left="720" w:hanging="720"/>
        <w:contextualSpacing w:val="false"/>
        <w:jc w:val="both"/>
        <w:rPr>
          <w:rFonts w:cs="Calibri" w:cstheme="minorHAnsi"/>
        </w:rPr>
      </w:pPr>
      <w:r>
        <w:rPr>
          <w:rFonts w:eastAsia="Times New Roman" w:cs="Calibri" w:cstheme="minorHAnsi"/>
          <w:szCs w:val="28"/>
          <w:lang w:eastAsia="cs-CZ"/>
        </w:rPr>
        <w:t>Smluvní strany berou na vědomí, že veškeré skutečnosti uvedené v této Smlouvě či spojené s touto Smlouvu</w:t>
      </w:r>
      <w:r>
        <w:rPr>
          <w:rFonts w:eastAsia="Times New Roman" w:cs="Calibri" w:cstheme="minorHAnsi"/>
          <w:sz w:val="20"/>
          <w:szCs w:val="24"/>
          <w:lang w:eastAsia="cs-CZ"/>
        </w:rPr>
        <w:t xml:space="preserve"> </w:t>
      </w:r>
      <w:r>
        <w:rPr>
          <w:rFonts w:eastAsia="Times New Roman" w:cs="Calibri" w:cstheme="minorHAnsi"/>
          <w:szCs w:val="28"/>
          <w:lang w:eastAsia="cs-CZ"/>
        </w:rPr>
        <w:t>či skutečnosti či informace či know-how, které se dozví v souvislosti s plněním povinností dle této Smlouvy a</w:t>
      </w:r>
      <w:r>
        <w:rPr>
          <w:rFonts w:eastAsia="Times New Roman" w:cs="Calibri" w:cstheme="minorHAnsi"/>
          <w:sz w:val="20"/>
          <w:szCs w:val="24"/>
          <w:lang w:eastAsia="cs-CZ"/>
        </w:rPr>
        <w:t xml:space="preserve"> </w:t>
      </w:r>
      <w:r>
        <w:rPr>
          <w:rFonts w:eastAsia="Times New Roman" w:cs="Calibri" w:cstheme="minorHAnsi"/>
          <w:szCs w:val="28"/>
          <w:lang w:eastAsia="cs-CZ"/>
        </w:rPr>
        <w:t>které nejsou běžně dostupné, ať už jsou poskytnuty v písemné, ústní či jiné formě, se považují, pokud odpovídají podmínkám uvedeným v § 504 OZ, za obchodní tajemství a pokud těmto podmínkám</w:t>
      </w:r>
      <w:r>
        <w:rPr>
          <w:rFonts w:eastAsia="Times New Roman" w:cs="Calibri" w:cstheme="minorHAnsi"/>
          <w:sz w:val="20"/>
          <w:szCs w:val="24"/>
          <w:lang w:eastAsia="cs-CZ"/>
        </w:rPr>
        <w:t xml:space="preserve"> </w:t>
      </w:r>
      <w:r>
        <w:rPr>
          <w:rFonts w:eastAsia="Times New Roman" w:cs="Calibri" w:cstheme="minorHAnsi"/>
          <w:szCs w:val="28"/>
          <w:lang w:eastAsia="cs-CZ"/>
        </w:rPr>
        <w:t>neodpovídají, potom se považují ve vztahu k druhé Smluvní straně za důvěrné ve smyslu § 1730 odst. 2 OZ.</w:t>
      </w:r>
      <w:r>
        <w:rPr>
          <w:rFonts w:eastAsia="Times New Roman" w:cs="Calibri" w:cstheme="minorHAnsi"/>
          <w:sz w:val="24"/>
          <w:szCs w:val="24"/>
          <w:lang w:eastAsia="cs-CZ"/>
        </w:rPr>
        <w:t xml:space="preserve"> </w:t>
      </w:r>
    </w:p>
    <w:p>
      <w:pPr>
        <w:pStyle w:val="ListParagraph"/>
        <w:numPr>
          <w:ilvl w:val="0"/>
          <w:numId w:val="7"/>
        </w:numPr>
        <w:spacing w:before="120" w:after="120"/>
        <w:ind w:left="720" w:hanging="720"/>
        <w:contextualSpacing w:val="false"/>
        <w:jc w:val="both"/>
        <w:rPr/>
      </w:pPr>
      <w:r>
        <w:rPr/>
        <w:t xml:space="preserve">Poskytovatel je povinen poskytnout objednateli veškerou potřebnou součinnost v souvislosti s případnou kontrolou prováděnou dozorovým úřadem v oblasti ochrany osobních údajů, např. Úřadem pro ochranu osobních údajů, zejména poskytnout veškeré informace a vysvětlení, která budou nezbytná k doložení toho, že zpracování osobních údajů je v souladu s Nařízením EU. Poskytovatel je povinen umožnit provádění auditů, kontrol, včetně inspekcí, prováděné objednatelem nebo jiným auditorem pověřeným objednatelem, a dále je povinen poskytnout řádnou součinnosti nutnou k auditům, inspekcím a jiným kontrolám. </w:t>
      </w:r>
    </w:p>
    <w:p>
      <w:pPr>
        <w:pStyle w:val="ListParagraph"/>
        <w:numPr>
          <w:ilvl w:val="0"/>
          <w:numId w:val="7"/>
        </w:numPr>
        <w:spacing w:before="120" w:after="120"/>
        <w:ind w:left="720" w:hanging="720"/>
        <w:contextualSpacing w:val="false"/>
        <w:jc w:val="both"/>
        <w:rPr>
          <w:rFonts w:cs="Calibri" w:cstheme="minorHAnsi"/>
        </w:rPr>
      </w:pPr>
      <w:r>
        <w:rPr/>
        <w:t xml:space="preserve">Zjistí-li poskytovatel v souvislosti s poskytováním činností dle této Smlouvy jakékoliv porušení zabezpečení osobních údajů, včetně jejich neoprávněného zpracování, poškození, ztráty či zničení, nebo dojde-li k porušení mlčenlivosti, je povinen o této skutečnosti neprodleně, nejpozději však do 24 hodin, informovat objednatele. </w:t>
      </w:r>
    </w:p>
    <w:p>
      <w:pPr>
        <w:pStyle w:val="ListParagraph"/>
        <w:numPr>
          <w:ilvl w:val="0"/>
          <w:numId w:val="1"/>
        </w:numPr>
        <w:spacing w:before="120" w:after="120"/>
        <w:contextualSpacing w:val="false"/>
        <w:jc w:val="center"/>
        <w:rPr>
          <w:b/>
          <w:b/>
          <w:bCs/>
        </w:rPr>
      </w:pPr>
      <w:r>
        <w:rPr>
          <w:b/>
          <w:bCs/>
        </w:rPr>
        <w:t>Odměna a platební podmínky</w:t>
      </w:r>
    </w:p>
    <w:p>
      <w:pPr>
        <w:pStyle w:val="ListParagraph"/>
        <w:numPr>
          <w:ilvl w:val="0"/>
          <w:numId w:val="8"/>
        </w:numPr>
        <w:spacing w:before="120" w:after="120"/>
        <w:ind w:left="644" w:hanging="644"/>
        <w:contextualSpacing w:val="false"/>
        <w:jc w:val="both"/>
        <w:rPr/>
      </w:pPr>
      <w:r>
        <w:rPr/>
        <w:t xml:space="preserve">Smluvní strany se dohodly, že poskytovateli náleží za poskytování plnění dle této Smlouvy měsíční paušální odměna ve výši </w:t>
      </w:r>
      <w:r>
        <w:rPr>
          <w:b/>
          <w:bCs/>
        </w:rPr>
        <w:t xml:space="preserve">20.000 </w:t>
      </w:r>
      <w:r>
        <w:rPr>
          <w:rFonts w:eastAsia="Calibri" w:cs="Arial" w:cstheme="minorBidi" w:eastAsiaTheme="minorHAnsi"/>
          <w:b/>
          <w:bCs/>
          <w:color w:val="000000"/>
          <w:shd w:fill="auto" w:val="clear"/>
        </w:rPr>
        <w:t>Kč vč. DPH.</w:t>
      </w:r>
    </w:p>
    <w:p>
      <w:pPr>
        <w:pStyle w:val="ListParagraph"/>
        <w:numPr>
          <w:ilvl w:val="0"/>
          <w:numId w:val="8"/>
        </w:numPr>
        <w:spacing w:before="120" w:after="120"/>
        <w:ind w:left="644" w:hanging="644"/>
        <w:contextualSpacing/>
        <w:jc w:val="both"/>
        <w:rPr/>
      </w:pPr>
      <w:r>
        <w:rPr/>
        <w:t>Dohodnutá odměna pokrývá i náklady poskytovatele spojené s jeho činností podle této Smlouvy, jako zejména administrativní výdaje, kopírování a tisk, poplatky za spojové služby a poštovné, cestovní výlohy, apod., s výjimkou cestovních náhrad za nezbytné cesty mimo město, ve kterém má objednatel sídlo.</w:t>
      </w:r>
    </w:p>
    <w:p>
      <w:pPr>
        <w:pStyle w:val="ListParagraph"/>
        <w:numPr>
          <w:ilvl w:val="0"/>
          <w:numId w:val="8"/>
        </w:numPr>
        <w:spacing w:before="120" w:after="120"/>
        <w:ind w:left="644" w:hanging="644"/>
        <w:contextualSpacing w:val="false"/>
        <w:jc w:val="both"/>
        <w:rPr/>
      </w:pPr>
      <w:r>
        <w:rPr/>
        <w:t xml:space="preserve">Sjednaná odměna je splatná na základě řádného daňového dokladu vystaveného poskytovatelem za každý kalendářní měsíc, se splatností čtrnácti (14) dnů. </w:t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bCs/>
        </w:rPr>
      </w:pPr>
      <w:r>
        <w:rPr>
          <w:b/>
          <w:bCs/>
        </w:rPr>
        <w:t>Trvání smlouvy</w:t>
      </w:r>
    </w:p>
    <w:p>
      <w:pPr>
        <w:pStyle w:val="ListParagraph"/>
        <w:numPr>
          <w:ilvl w:val="0"/>
          <w:numId w:val="9"/>
        </w:numPr>
        <w:spacing w:before="120" w:after="120"/>
        <w:ind w:left="720" w:hanging="720"/>
        <w:contextualSpacing w:val="false"/>
        <w:jc w:val="both"/>
        <w:rPr/>
      </w:pPr>
      <w:r>
        <w:rPr/>
        <w:t>Tato Smlouva se uzavírá na dobu neurčitou. Smlouvu lze ukončit po vzájemné dohodě nebo výpovědí jedné ze smluvních stran s výpovědní lhůtou tří měsíců. Výpovědní lhůta počíná běžet první den měsíce následujícího po měsíci, ve kterém byla výpověď doručena druhé smluvní straně.</w:t>
      </w:r>
    </w:p>
    <w:p>
      <w:pPr>
        <w:pStyle w:val="ListParagraph"/>
        <w:numPr>
          <w:ilvl w:val="0"/>
          <w:numId w:val="9"/>
        </w:numPr>
        <w:spacing w:before="120" w:after="120"/>
        <w:ind w:left="720" w:hanging="720"/>
        <w:contextualSpacing w:val="false"/>
        <w:jc w:val="both"/>
        <w:rPr>
          <w:rStyle w:val="Markedcontent"/>
          <w:sz w:val="18"/>
        </w:rPr>
      </w:pPr>
      <w:r>
        <w:rPr>
          <w:rStyle w:val="Markedcontent"/>
          <w:szCs w:val="28"/>
        </w:rPr>
        <w:t>Dojde-li k opakovanému podstatnému porušení této</w:t>
      </w:r>
      <w:r>
        <w:rPr>
          <w:sz w:val="18"/>
        </w:rPr>
        <w:t xml:space="preserve"> </w:t>
      </w:r>
      <w:r>
        <w:rPr>
          <w:rStyle w:val="Markedcontent"/>
          <w:szCs w:val="28"/>
        </w:rPr>
        <w:t>Smlouvy druhou smluvní stranou a tato druhá smluvní strana již v předchozím případě byla písemně</w:t>
      </w:r>
      <w:r>
        <w:rPr>
          <w:sz w:val="18"/>
        </w:rPr>
        <w:t xml:space="preserve"> </w:t>
      </w:r>
      <w:r>
        <w:rPr>
          <w:rStyle w:val="Markedcontent"/>
          <w:szCs w:val="28"/>
        </w:rPr>
        <w:t>upozorněna na podstatné porušování Smlouvy a vyzvána ke zjednání nápravy, je první smluvní strana oprávněna Smlouvu ukončit okamžitou výpovědí s účinností ke dni doručení druhé smluvní straně.</w:t>
      </w:r>
    </w:p>
    <w:p>
      <w:pPr>
        <w:pStyle w:val="ListParagraph"/>
        <w:numPr>
          <w:ilvl w:val="0"/>
          <w:numId w:val="9"/>
        </w:numPr>
        <w:spacing w:before="120" w:after="120"/>
        <w:ind w:left="720" w:hanging="720"/>
        <w:contextualSpacing w:val="false"/>
        <w:jc w:val="both"/>
        <w:rPr>
          <w:sz w:val="18"/>
        </w:rPr>
      </w:pPr>
      <w:r>
        <w:rPr/>
        <w:t>Oznámení o výpovědi musí být učiněno písemně a doručeno druhé straně doporučeným dopisem na adresu jeho sídla nebo osobně proti potvrzení o přijetí. Za platné doručení výpovědi se rovněž použije fikce doručení.</w:t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bCs/>
        </w:rPr>
      </w:pPr>
      <w:r>
        <w:rPr>
          <w:b/>
          <w:bCs/>
        </w:rPr>
        <w:t>Závěrečná ustanovení</w:t>
      </w:r>
    </w:p>
    <w:p>
      <w:pPr>
        <w:pStyle w:val="ListParagraph"/>
        <w:numPr>
          <w:ilvl w:val="0"/>
          <w:numId w:val="10"/>
        </w:numPr>
        <w:spacing w:before="120" w:after="120"/>
        <w:ind w:left="720" w:hanging="720"/>
        <w:contextualSpacing w:val="false"/>
        <w:jc w:val="both"/>
        <w:rPr/>
      </w:pPr>
      <w:r>
        <w:rPr/>
        <w:t>Smlouva je vyhotovena ve dvou výtiscích, z nichž každá strana obdrží jeden exemplář. Každý výtisk má platnost originálu. Smlouva vstupuje v platnost dnem jejího podpisu oběma stranami a účinnosti jejím uveřejněním v Registru smluv.</w:t>
      </w:r>
    </w:p>
    <w:p>
      <w:pPr>
        <w:pStyle w:val="ListParagraph"/>
        <w:numPr>
          <w:ilvl w:val="0"/>
          <w:numId w:val="10"/>
        </w:numPr>
        <w:spacing w:before="120" w:after="120"/>
        <w:ind w:left="720" w:hanging="720"/>
        <w:contextualSpacing w:val="false"/>
        <w:jc w:val="both"/>
        <w:rPr/>
      </w:pPr>
      <w:r>
        <w:rPr/>
        <w:t xml:space="preserve">Úpravy nebo změna Smlouvy jsou účinné pouze tehdy, mají-li písemnou formu a jsou-li podepsány oběma stranami. </w:t>
      </w:r>
    </w:p>
    <w:p>
      <w:pPr>
        <w:pStyle w:val="ListParagraph"/>
        <w:numPr>
          <w:ilvl w:val="0"/>
          <w:numId w:val="10"/>
        </w:numPr>
        <w:spacing w:before="120" w:after="120"/>
        <w:ind w:left="720" w:hanging="720"/>
        <w:contextualSpacing w:val="false"/>
        <w:jc w:val="both"/>
        <w:rPr/>
      </w:pPr>
      <w:r>
        <w:rPr/>
        <w:t>Smluvní strany berou na vědomí, že se na tuto smlouvu vztahují podmínky zákon č. 340/2015 Sb., o zvláštních podmínkách účinnosti některých smluv a o registru smluv. Objednatel se zavazuje uveřejnit tuto Smlouvu v souladu se z. č. 340/2015 Sb., a to do 30 dnů od uzavření Smlouvy.</w:t>
      </w:r>
    </w:p>
    <w:p>
      <w:pPr>
        <w:pStyle w:val="ListParagraph"/>
        <w:numPr>
          <w:ilvl w:val="0"/>
          <w:numId w:val="10"/>
        </w:numPr>
        <w:spacing w:before="120" w:after="120"/>
        <w:ind w:left="720" w:hanging="720"/>
        <w:contextualSpacing w:val="false"/>
        <w:jc w:val="both"/>
        <w:rPr/>
      </w:pPr>
      <w:r>
        <w:rPr/>
        <w:t xml:space="preserve">Smluvní strany prohlašují, že smlouvu uzavírají ze své výslovné a svobodné vůle, nikoli v tísni či za nevýhodných podmínek.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Ve Vrchlabí dne </w:t>
      </w:r>
      <w:r>
        <w:rPr/>
        <w:t>1.4.2023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poskytovatel </w:t>
        <w:tab/>
        <w:tab/>
        <w:tab/>
        <w:tab/>
        <w:tab/>
        <w:tab/>
        <w:tab/>
        <w:t>ředitel organizace</w:t>
      </w:r>
    </w:p>
    <w:p>
      <w:pPr>
        <w:pStyle w:val="NoSpacing"/>
        <w:rPr/>
      </w:pPr>
      <w:r>
        <w:rPr/>
        <w:tab/>
        <w:tab/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17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17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Nadpis5">
    <w:name w:val="Heading 5"/>
    <w:basedOn w:val="Normal"/>
    <w:next w:val="Normal"/>
    <w:link w:val="Nadpis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Nadpis6">
    <w:name w:val="Heading 6"/>
    <w:basedOn w:val="Normal"/>
    <w:next w:val="Normal"/>
    <w:link w:val="Nadpis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Nadpis7">
    <w:name w:val="Heading 7"/>
    <w:basedOn w:val="Normal"/>
    <w:next w:val="Normal"/>
    <w:link w:val="Nadpis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Nadpis8">
    <w:name w:val="Heading 8"/>
    <w:basedOn w:val="Normal"/>
    <w:next w:val="Normal"/>
    <w:link w:val="Nadpis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Nadpis9">
    <w:name w:val="Heading 9"/>
    <w:basedOn w:val="Normal"/>
    <w:next w:val="Normal"/>
    <w:link w:val="Nadpis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Nadpis2Char" w:customStyle="1">
    <w:name w:val="Nadpis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Nadpis3Char" w:customStyle="1">
    <w:name w:val="Nadpis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Nadpis4Char" w:customStyle="1">
    <w:name w:val="Nadpis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Nadpis5Char" w:customStyle="1">
    <w:name w:val="Nadpis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Nadpis6Char" w:customStyle="1">
    <w:name w:val="Nadpis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Nadpis7Char" w:customStyle="1">
    <w:name w:val="Nadpis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Nadpis8Char" w:customStyle="1">
    <w:name w:val="Nadpis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Nadpis9Char" w:customStyle="1">
    <w:name w:val="Nadpis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NzevChar" w:customStyle="1">
    <w:name w:val="Název Char"/>
    <w:basedOn w:val="DefaultParagraphFont"/>
    <w:uiPriority w:val="10"/>
    <w:qFormat/>
    <w:rPr>
      <w:sz w:val="48"/>
      <w:szCs w:val="48"/>
    </w:rPr>
  </w:style>
  <w:style w:type="character" w:styleId="PodtitulChar" w:customStyle="1">
    <w:name w:val="Podtitul Char"/>
    <w:basedOn w:val="DefaultParagraphFont"/>
    <w:uiPriority w:val="11"/>
    <w:qFormat/>
    <w:rPr>
      <w:sz w:val="24"/>
      <w:szCs w:val="24"/>
    </w:rPr>
  </w:style>
  <w:style w:type="character" w:styleId="CittChar" w:customStyle="1">
    <w:name w:val="Citát Char"/>
    <w:link w:val="Quote"/>
    <w:uiPriority w:val="29"/>
    <w:qFormat/>
    <w:rPr>
      <w:i/>
    </w:rPr>
  </w:style>
  <w:style w:type="character" w:styleId="VrazncittChar" w:customStyle="1">
    <w:name w:val="Výrazný citát Char"/>
    <w:link w:val="IntenseQuote"/>
    <w:uiPriority w:val="30"/>
    <w:qFormat/>
    <w:rPr>
      <w:i/>
    </w:rPr>
  </w:style>
  <w:style w:type="character" w:styleId="ZhlavChar" w:customStyle="1">
    <w:name w:val="Záhlaví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ZpatChar" w:customStyle="1">
    <w:name w:val="Zápatí Char"/>
    <w:uiPriority w:val="99"/>
    <w:qFormat/>
    <w:rPr/>
  </w:style>
  <w:style w:type="character" w:styleId="Internetovodkaz">
    <w:name w:val="Hyperlink"/>
    <w:uiPriority w:val="99"/>
    <w:unhideWhenUsed/>
    <w:rPr>
      <w:color w:val="0563C1" w:themeColor="hyperlink"/>
      <w:u w:val="single"/>
    </w:rPr>
  </w:style>
  <w:style w:type="character" w:styleId="TextpoznpodarouChar" w:customStyle="1">
    <w:name w:val="Text pozn. pod čarou Char"/>
    <w:uiPriority w:val="99"/>
    <w:qFormat/>
    <w:rPr>
      <w:sz w:val="18"/>
    </w:rPr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TextvysvtlivekChar" w:customStyle="1">
    <w:name w:val="Text vysvětlivek Char"/>
    <w:uiPriority w:val="99"/>
    <w:qFormat/>
    <w:rPr>
      <w:sz w:val="20"/>
    </w:rPr>
  </w:style>
  <w:style w:type="character" w:styleId="Ukotvenvysvtlivky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Markedcontent" w:customStyle="1">
    <w:name w:val="markedcontent"/>
    <w:basedOn w:val="DefaultParagraphFont"/>
    <w:qFormat/>
    <w:rsid w:val="000b3109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zev">
    <w:name w:val="Title"/>
    <w:basedOn w:val="Normal"/>
    <w:next w:val="Normal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titul">
    <w:name w:val="Subtitle"/>
    <w:basedOn w:val="Normal"/>
    <w:next w:val="Normal"/>
    <w:link w:val="Podtitul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Citt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472C4" w:themeColor="accent1"/>
      <w:sz w:val="18"/>
      <w:szCs w:val="18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Vysvtlivka">
    <w:name w:val="Endnote Text"/>
    <w:basedOn w:val="Normal"/>
    <w:link w:val="Textvysvtlivek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Obsah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Obsah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Obsah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Obsah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Obsah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Obsah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Obsah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Obsah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Obsah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Nadpisrejstku">
    <w:name w:val="Index Heading"/>
    <w:basedOn w:val="Nadpis"/>
    <w:pPr/>
    <w:rPr/>
  </w:style>
  <w:style w:type="paragraph" w:styleId="Nadpisobsahu">
    <w:name w:val="TOC Heading"/>
    <w:uiPriority w:val="39"/>
    <w:unhideWhenUsed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seznamu">
    <w:name w:val="Obsah seznamu"/>
    <w:basedOn w:val="Normal"/>
    <w:qFormat/>
    <w:pPr>
      <w:ind w:left="567" w:hanging="0"/>
    </w:pPr>
    <w:rPr/>
  </w:style>
  <w:style w:type="paragraph" w:styleId="Seznamnadpis">
    <w:name w:val="Seznam nadpisů"/>
    <w:basedOn w:val="Normal"/>
    <w:next w:val="Obsahseznamu"/>
    <w:qFormat/>
    <w:pPr>
      <w:ind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lang w:eastAsia="cs-CZ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LibreOffice/7.4.2.3$Windows_X86_64 LibreOffice_project/382eef1f22670f7f4118c8c2dd222ec7ad009daf</Application>
  <AppVersion>15.0000</AppVersion>
  <Pages>5</Pages>
  <Words>1770</Words>
  <Characters>10807</Characters>
  <CharactersWithSpaces>12477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2023-02-01T11:19:00Z</dcterms:created>
  <dc:creator>kancelar</dc:creator>
  <dc:description/>
  <dc:language>cs-CZ</dc:language>
  <cp:lastModifiedBy/>
  <dcterms:modified xsi:type="dcterms:W3CDTF">2023-04-19T15:33:36Z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