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78" w:h="245" w:wrap="none" w:hAnchor="page" w:x="9165" w:y="-1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KSAUSV000199</w:t>
      </w:r>
    </w:p>
    <w:p>
      <w:pPr>
        <w:widowControl w:val="0"/>
        <w:spacing w:after="110" w:line="1" w:lineRule="exact"/>
      </w:pPr>
    </w:p>
    <w:p>
      <w:pPr>
        <w:widowControl w:val="0"/>
        <w:spacing w:line="1" w:lineRule="exac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087" w:left="1038" w:right="614" w:bottom="104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Krajská správa a údržba silnic Vysočiny, příspěvková organizace: 051/2023-KSÚSV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Obec Malčin: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SMLOUVA</w:t>
      </w:r>
      <w:bookmarkEnd w:id="0"/>
      <w:bookmarkEnd w:id="1"/>
    </w:p>
    <w:tbl>
      <w:tblPr>
        <w:tblpPr w:leftFromText="180" w:rightFromText="194" w:topFromText="451" w:bottomFromText="0" w:horzAnchor="page" w:tblpX="8641" w:vertAnchor="text" w:tblpY="771"/>
        <w:jc w:val="left"/>
        <w:tblLayout w:type="fixed"/>
      </w:tblPr>
      <w:tblGrid>
        <w:gridCol w:w="2054"/>
        <w:gridCol w:w="576"/>
      </w:tblGrid>
      <w:tr>
        <w:trPr>
          <w:tblHeader/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DB4548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Datum: 1 1 ”04" 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DB4548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ftXet hítul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i/>
                <w:iCs/>
                <w:smallCaps/>
                <w:color w:val="DB4548"/>
                <w:spacing w:val="0"/>
                <w:w w:val="100"/>
                <w:position w:val="0"/>
                <w:sz w:val="34"/>
                <w:szCs w:val="34"/>
                <w:shd w:val="clear" w:color="auto" w:fill="auto"/>
                <w:vertAlign w:val="superscript"/>
                <w:lang w:val="cs-CZ" w:eastAsia="cs-CZ" w:bidi="cs-CZ"/>
              </w:rPr>
              <w:t>íť</w:t>
            </w:r>
            <w:r>
              <w:rPr>
                <w:i/>
                <w:iCs/>
                <w:smallCaps/>
                <w:color w:val="DB4548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cs-CZ" w:eastAsia="cs-CZ" w:bidi="cs-CZ"/>
              </w:rPr>
              <w:t xml:space="preserve"> </w:t>
            </w:r>
            <w:r>
              <w:rPr>
                <w:i/>
                <w:iCs/>
                <w:smallCaps/>
                <w:color w:val="606FB6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cs-CZ" w:eastAsia="cs-CZ" w:bidi="cs-CZ"/>
              </w:rPr>
              <w:t>ůosvioIm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DB4548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miioK 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606FB6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w</w:t>
            </w:r>
          </w:p>
        </w:tc>
      </w:tr>
    </w:tbl>
    <w:p>
      <w:pPr>
        <w:pStyle w:val="Style21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482600</wp:posOffset>
                </wp:positionV>
                <wp:extent cx="926465" cy="32004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 strany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3.25pt;margin-top:38.pt;width:72.950000000000003pt;height:25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strany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5831205</wp:posOffset>
                </wp:positionH>
                <wp:positionV relativeFrom="paragraph">
                  <wp:posOffset>203200</wp:posOffset>
                </wp:positionV>
                <wp:extent cx="978535" cy="13716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wdržita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59.14999999999998pt;margin-top:16.pt;width:77.049999999999997pt;height:10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wdržita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5813425</wp:posOffset>
                </wp:positionH>
                <wp:positionV relativeFrom="paragraph">
                  <wp:posOffset>297815</wp:posOffset>
                </wp:positionV>
                <wp:extent cx="1353185" cy="23749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318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26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vysiťksy,</w:t>
                              <w:tab/>
                              <w:t>organizsce ■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1122/16, 516 01 jlh^vs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57.75pt;margin-top:23.449999999999999pt;width:106.55pt;height:18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6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vysiťksy,</w:t>
                        <w:tab/>
                        <w:t>organizsce ■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1122/16, 516 01 jlh^vs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společném zadávání veřejných zadavatelů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0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2027555</wp:posOffset>
                </wp:positionH>
                <wp:positionV relativeFrom="paragraph">
                  <wp:posOffset>12700</wp:posOffset>
                </wp:positionV>
                <wp:extent cx="2054225" cy="600710"/>
                <wp:wrapSquare wrapText="bothSides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4225" cy="600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 Ing. Radovanem Necidem, ředitelem 00090450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59.65000000000001pt;margin-top:1.pt;width:161.75pt;height:47.299999999999997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 01 Jihlava Ing. Radovanem Necidem, ředitelem 00090450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571500</wp:posOffset>
                </wp:positionV>
                <wp:extent cx="768350" cy="594360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Obec Malčin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Zastoupená: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3.100000000000001pt;margin-top:45.pt;width:60.5pt;height:46.799999999999997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Obec Malčin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„zadavatel č. 1“)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Malčin 21, 582 91 Malčin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Zdeňkem Vackem, starostou 00267848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„zadavatel č. 2“)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„zadavatelé“)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v souladu s ustanovením § 2716 zákona č. 89/2012 Sb., občanský zákoník, v platném znění (dále jen „občanský zákoník") a ustanovením § 7 zákona č. 134/2016 Sb., o zadávání veřejných zakázek, v platném znění (dále jen „ZZVZ"), tuto smlouvu: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této smlouvy je úprava vzájemných práv a povinností zadavatelů k třetím osobám a k sobě navzájem v souvislosti se společným zadáním veřejné zakázky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„lll/3473_lll/34712 Malčin průtah“,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jsou stavební práce.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340" w:line="257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dále úprava vzájemných práv a povinností zadavatelů v souvislosti se zajištěním technického dozoru stavebníka, autorského dozoru, koordinátora bezpečnosti a ochrany zdraví při práci na staveništi a archeologického průzkumu pro dotčené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plnění předmětu smlouvy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Zadavatelé se dohodli, že na financování veřejné zakázky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„lll/3473_lll/34712 Malčin průtah“,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budou podílet v rozsahu prací vymezených projektovou dokumentací resp. soupisem prací vypracovaným pro tyto účely pro jednotlivé stavby a zároveň pro jednotlivé investory, kterými budou zadavatel č. 1 a zadavatel č. 2 dle samostatné smlouvy o dílo uzavřené s účastníkem vybraným na základě zadávacího řízení pro příslušnou část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Veřejná zakázka na stavební práce bude zadána jako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podlimitní veřejná zakázka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stavební práce v podlimitním režimu 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zjednodušeném podlimitním řízení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§ 53 odst. 1 ZZVZ. Předmět veřejné zakázky je rozdělen na jednotlivé stavební objekty, dle příslušné projektové dokumentace: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09" w:val="left"/>
        </w:tabs>
        <w:bidi w:val="0"/>
        <w:spacing w:before="0" w:after="480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Projektová dokumentace: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„Hl/3473 a 111/34712 Malčin - průtah“,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stupni DUSP/PDPS; zpracovaná: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02/2021;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zpracovatel: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DMC Havlíčkův Brod, s.r.o.,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Průmyslová 941, 580 01 Havlíčkův Brod, IČO: 25284525; hlavní inženýr projektu</w:t>
        <w:tab/>
        <w:t>autorizovaný inženýr pro dopravní stavby, ČKAIT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7" w:left="1038" w:right="1426" w:bottom="98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to v členění:</w:t>
      </w:r>
    </w:p>
    <w:p>
      <w:pPr>
        <w:pStyle w:val="Style1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SSZVZ 11l/3473 l11/34712 Malčín průtah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6" w:val="left"/>
        </w:tabs>
        <w:bidi w:val="0"/>
        <w:spacing w:before="0" w:line="254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investor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24" w:val="left"/>
        </w:tabs>
        <w:bidi w:val="0"/>
        <w:spacing w:before="0" w:line="254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PD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„III/3473 a 111/34712 Malčín - průtah“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12" w:val="left"/>
        </w:tabs>
        <w:bidi w:val="0"/>
        <w:spacing w:before="0" w:after="0" w:line="25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</w:t>
        <w:tab/>
        <w:t>Komunikace III/3473 a 34712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12" w:val="left"/>
        </w:tabs>
        <w:bidi w:val="0"/>
        <w:spacing w:before="0" w:after="240" w:line="25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102</w:t>
        <w:tab/>
        <w:t>Komunikace lil/3473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 zajistí pro výše uvedené stavební objekty TDS, koordinátora BOZP, AD a archeologický průzkum.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6" w:val="left"/>
        </w:tabs>
        <w:bidi w:val="0"/>
        <w:spacing w:before="0" w:line="254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investor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24" w:val="left"/>
        </w:tabs>
        <w:bidi w:val="0"/>
        <w:spacing w:before="0" w:line="254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PD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„III/3473 a 111/34712 Malčín - průtah“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12" w:val="left"/>
        </w:tabs>
        <w:bidi w:val="0"/>
        <w:spacing w:before="0" w:after="0" w:line="25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103</w:t>
        <w:tab/>
        <w:t>Chodníky líl/3473 a 34712 - uznatelné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12" w:val="left"/>
        </w:tabs>
        <w:bidi w:val="0"/>
        <w:spacing w:before="0" w:after="0" w:line="25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103.2</w:t>
        <w:tab/>
        <w:t>Chodníky III/3473 a 34712 - neuznatelné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12" w:val="left"/>
        </w:tabs>
        <w:bidi w:val="0"/>
        <w:spacing w:before="0" w:after="0" w:line="25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SO104</w:t>
        <w:tab/>
        <w:t>Chodníky líl/3473 - uznatelné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12" w:val="left"/>
        </w:tabs>
        <w:bidi w:val="0"/>
        <w:spacing w:before="0" w:after="240" w:line="25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104.2</w:t>
        <w:tab/>
        <w:t>Chodníky líl/3473 - neuznatelné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 zajistí pro výše uvedené stavební objekty TDS, koordinátora BOZP, AD a archeologický průzkum.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Zadávací řízení bude realizováno prostřednictvím veřejné zakázky rozdělené na části v jednom zadávacím řízení. Zadávací řízení nebude rozděleno na části ve smyslu § 35 a § 101 ZZVZ. Tam, kde je dále ve smlouvě uvedeno dělení plnění veřejné zakázky na části, se rozumí pouze dělení na dílčí plnění podle zadavatelů.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ve výzvě, případně oznámení o zahájení zadávacího řízení a v základních údajích Zadávací dokumentace bude stanovena povinnost podat nabídku na celý předmět veřejné zakázky, který bude mimo jiné obsahovat dva samostatné návrhy smluv o dílo se zadavatelem č. 1 a zadavatelem č. 2.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 w:line="257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zadavatelskou činnost ve smyslu zákona v tomto zadávacím řízení bude vykonávat zadavatel č. 1. Podání nabídek bude elektronicky, prostřednictvím elektronického nástroje E-ZAK. Zadavatelé se dohodli, že otevírání nabídek provede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k provádění úkonů souvisejících s posouzením splnění podmínek účasti dodavatelů a hodnocením nabídek podle ZZVZ bude jmenována komise, jejíž úkony v zadávacím řízení se pro účely ZZVZ považují za úkony zadavatele. Práva a povinnosti členů komise budou součástí jmenování této komise. Zadavatelé se dohodli na následujícím složení hodnotící komise: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12" w:val="left"/>
        </w:tabs>
        <w:bidi w:val="0"/>
        <w:spacing w:before="0" w:after="0" w:line="25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1:</w:t>
        <w:tab/>
        <w:t>3 členové včetně zástupce zřizovatele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12" w:val="left"/>
        </w:tabs>
        <w:bidi w:val="0"/>
        <w:spacing w:before="0" w:line="25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2:</w:t>
        <w:tab/>
        <w:t>2 členové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 w:line="26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 jmenuje na základě nominace jednotlivými zadavateli ve výše uvedeném poměru členy hodnotící komise a jejich náhradníky.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 w:line="25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Jednání hodnotící komise pro hodnocení nabídek a posouzení splnění podmínek účasti (dále hodnotící komise) bude probíhat formou videokonference. Zadavatel č. 1 odešle jmenovaným členům hodnotící komise termín jednání hodnotící komise a odkaz na konferenční místnost. Nebude-li možné provést jednání hodnotící komise formou videokonference, bude místem konání jednání sídlo zadavatele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 w:line="262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rozhodnutí o výběru dodavatele vydá zadavatel č. 1 i zadavatel č. 2. Oznámení o výběru dodavatele, jakož i veškeré další písemnosti spojené se zadávacím řízením vydá a doručí uchazečům zadavatel č. 1 v souladu se ZZVZ.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line="262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Zadavatelem, který je pověřen vystupovat za sdružené zadavatele navenek vůči třetím osobám, je zadavatel č. 1. Pro účely jednání o smlouvě na vymezenou část veřejné zakázky doručí zadavatel č. 1 neprodleně zadavateli č. 2 vyrozumění o marném uplynutí lhůty pro podání námitek podle § 242 ZZVZ.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line="26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nastanou důvody ke zrušení zadávacího řízení, třebaže by se dotýkaly pouze jedné nebo více částí veřejné zakázky, vydá na základě rozhodnutí obou zadavatelů oznámení o zrušení veřejné zakázky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line="254" w:lineRule="auto"/>
        <w:ind w:left="0" w:right="0" w:firstLine="0"/>
        <w:jc w:val="both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814" w:left="1055" w:right="1408" w:bottom="920" w:header="38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 bude při své zadavatelské činnosti postupovat podle ZZVZ a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6" w:val="left"/>
        </w:tabs>
        <w:bidi w:val="0"/>
        <w:spacing w:before="0" w:line="240" w:lineRule="auto"/>
        <w:ind w:left="560" w:right="0" w:hanging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 s vybraným dodavatelem samostatnou smlouvu o dílo dle projektové dokumentace ve stupni DUSP + PDPS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„III/3473 a 111/34712 Malčín - průtah“,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bude zhotovení stavebních objektů: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12700</wp:posOffset>
                </wp:positionV>
                <wp:extent cx="457200" cy="316865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720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101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102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26.7pt;margin-top:1.pt;width:36.pt;height:24.94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102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Komunikace III/3473 a 34712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Komunikace III/3473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6" w:val="left"/>
        </w:tabs>
        <w:bidi w:val="0"/>
        <w:spacing w:before="0" w:line="240" w:lineRule="auto"/>
        <w:ind w:left="560" w:right="0" w:hanging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 s vybraným dodavatelem samostatnou smlouvu o dílo dle projektové dokumentace ve stupni DUSP + PDPS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„III/3473 a 111/34712 Malčín - průtah“,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bude zhotovení stavebních objektů: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both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12700</wp:posOffset>
                </wp:positionV>
                <wp:extent cx="557530" cy="618490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618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103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103.2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104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104.2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26.7pt;margin-top:1.pt;width:43.899999999999999pt;height:48.700000000000003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103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103.2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104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104.2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Chodníky III/3473 a 34712 - uznatelné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Chodníky III/3473 a 34712 - neuznatelné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Chodníky III/3473 - uznatelné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Chodníky III/3473 - neuznatelné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6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 je povinen: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8" w:val="left"/>
        </w:tabs>
        <w:bidi w:val="0"/>
        <w:spacing w:before="0" w:after="0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spolupracovat při sestavení všech součástí zadávací dokumentace (zejména obchodní podmínky, kvalifikace a způsob hodnocení) v souladu se ZZVZ a relevantními právními předpisy s odpovědným pracovníkem zadavatele č. 1 a v dostatečném předstihu před zahájením zadávacího řízení předat tyto podklady zadavateli č. 1;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tyto účely se odpovědným pracovníkem zadavatele č. 1 rozumí: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7e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98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zadávacího řízení veřejné zakázkv: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8" w:val="left"/>
        </w:tabs>
        <w:bidi w:val="0"/>
        <w:spacing w:before="0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nominovat své zástupce (členy a jejich náhradníky) do hodnotící komise nejpozději k termínu zahájení zadávacího řízení;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8" w:val="left"/>
        </w:tabs>
        <w:bidi w:val="0"/>
        <w:spacing w:before="0" w:line="264" w:lineRule="auto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informovat zadavatele č. 1 o všech podstatných skutečnostech majících vliv na průběh zadávacího řízení a jeho zákonnost;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8" w:val="left"/>
        </w:tabs>
        <w:bidi w:val="0"/>
        <w:spacing w:before="0" w:line="259" w:lineRule="auto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neprovede-li zadavatel č. 2 nominaci členů a náhradníků členů komise do termínu zahájení zadávacího řízení, provede zadavatel č. 1 jmenování hodnotící komise, v plném rozsahu, dle vlastní nominace;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8" w:val="left"/>
        </w:tabs>
        <w:bidi w:val="0"/>
        <w:spacing w:before="0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neprodleně sdělit zadavateli č. 1 zejména přijetí rozhodnutí o přidělení veřejné zakázky příslušnými orgány zadavatele č. 2 a poté bez zbytečného odkladu zaslat výpis usnesení o tomto rozhodnutí;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8" w:val="left"/>
        </w:tabs>
        <w:bidi w:val="0"/>
        <w:spacing w:before="0" w:line="259" w:lineRule="auto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rozsahu uzavřené smlouvy o dílo, případně jejich dodatků, zajistit publikační povinnost dílčích náležitostí zakázky příslušného zadavatele stanovených ust. § 219 ZZVZ , které dle této smlouvy není oprávněn vykonat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6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jsou povinni: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08" w:val="left"/>
        </w:tabs>
        <w:bidi w:val="0"/>
        <w:spacing w:before="0" w:line="259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projednat harmonogram zadání veřejné zakázky;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08" w:val="left"/>
        </w:tabs>
        <w:bidi w:val="0"/>
        <w:spacing w:before="0" w:line="259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projednat zadávací podmínky veřejné soutěže;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08" w:val="left"/>
        </w:tabs>
        <w:bidi w:val="0"/>
        <w:spacing w:before="0" w:line="257" w:lineRule="auto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 si navzájem veškerou nezbytnou a požadovanou součinnost, zejména pokud jde o výměnu relevantních dokumentů, podávání vysvětlení a písemných stanovisek a vlastní uzavření smlouvy o dílo;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08" w:val="left"/>
        </w:tabs>
        <w:bidi w:val="0"/>
        <w:spacing w:before="0" w:after="340" w:line="262" w:lineRule="auto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neuzavírat s vybraným uchazečem smlouvu o dílo, pokud budou podány námitky proti rozhodnutí o přidělení veřejné zakázky bez ohledu na to, proti kterému zadavateli nebo části veřejné zakázky směřují.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Zásady jednání zadavatelů a osob za ně jednajících, odpovědnost zadavatelů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Zadavatelé čestně prohlašují, že zachovají mlčenlivost o všech skutečnostech, o kterých se dozvěděli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touto veřejnou zakázkou. Zadavatelé jsou povinni zajistit nepodjatost, závazek mlčenlivosti a vyloučení střetu zájmů u všech osob, které pověří činnostmi souvisejícími s realizací této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2" w:val="left"/>
        </w:tabs>
        <w:bidi w:val="0"/>
        <w:spacing w:before="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každý ze zadavatelů zúčastněných na společném zadávání odpovídá samostatně a v plném rozsahu za ty úkony, které činí vlastním jménem a výlučně na svůj účet.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2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za společné části zadávací dokumentace a společné zákonné postupy v průběhu zadávacího řízení odpovídají zúčastnění zadavatelé společně. V případě prodlení v úkonech zadavatele proti lhůtám stanoveným ZZVZ případně jiných porušení zákona a smluvních povinností nese veškeré důsledky tohoto prodlení nebo porušení ten ze zadavatelů, který svým jednáním toto prodlení nebo porušení způsobil.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2" w:val="left"/>
        </w:tabs>
        <w:bidi w:val="0"/>
        <w:spacing w:before="0" w:line="25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Sankce, jakož i jiné náhrady škody způsobené porušením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7.7\J7_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této smlouvy, resp. napadením postupu zadavatele námitkou či podáním návrhu ze strany některého z účastníků 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2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Každý zadavatel nese náklady svého zastoupení v souvislosti se svou odpovědností za zákonný průběh zadávacího řízení v řízení před orgánem dohledu nebo soudem.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2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závazku ze smlouvy budou realizovány samostatně dotčeným zadavatelem, za podmínek stanovených v ustanovení § 222 ZZVZ, mimo působnost této smlouvy. Mezi zadavateli se sjednává, že pro stanovení původní hodnoty závazku ze smlouvy ve smyslu ustanovení § 222 ZZVZ budou pro každou z částí použity hodnoty náležící dotčené části na základě výsledků zadávacího řízení.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2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Oznámení o výsledku podlimitního řízení ve Věstníku veřejných zakázek zajistí zadavatel č. 1 za oba zadavatele v souladu s § 212 ZZVZ.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2" w:val="left"/>
        </w:tabs>
        <w:bidi w:val="0"/>
        <w:spacing w:before="0" w:after="34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Případné změny závazků ze smlouvy dle § 222 ZZVZ a z něj vyplývající oznámení o změně dle § 212 ZZVZ si do WZ zajistí každý zadavatel sám.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trvání smlouvy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2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se uzavírá na dobu určitou, a to ode dne nabytí účinnosti této smlouvy až do doby splnění účelu této smlouvy a vypořádání všech závazků z této smlouvy plynoucích. V případě, že nebude zadávací řízení zahájeno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31. 12. 2024,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pozbývá tato smlouva platnosti 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1.1.2025.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2" w:val="left"/>
        </w:tabs>
        <w:bidi w:val="0"/>
        <w:spacing w:before="0" w:after="340" w:line="257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Jednotlivé dílčí termíny procesu zadání této veřejné zakázky dohodnou zadavatelé v harmonogramu zadání veřejné zakázky a v jednotlivých nepředvídatelných případech prostřednictvím svých oprávněných pracovníků s přihlédnutím k zákonem stanoveným lhůtám a vnitřním poměrům jednotlivých zadavatelů. Pokud nebude dosaženo dohody, určí jednotlivé dílčí termíny zadavatel č. 1 prostřednictvím svého odpovědného pracovníka. V odůvodněných případech (například vyřízení žádosti o vysvětlení zadávací dokumentace) je oprávněný pracovník zadavatele č. 1 oprávněn určit termíny v řádech hodin.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a placení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2" w:val="left"/>
        </w:tabs>
        <w:bidi w:val="0"/>
        <w:spacing w:before="0" w:after="22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případné náklady spojené s účastí členů hodnotící komise na příslušných jednáních ponese každý ze zadavatelů v rozsahu nákladů požadovaných jednotlivými členy, které do hodnotící komise jmenoval. Případné náklady spojené s účastí odborníků, přizvaných na základě požadavků hodnotící komise, hradí všichni zadavatelé rovným dílem. Náklady na úhradu poplatku za zveřejnění Oznámení o zveřejnění výsledku podlimitního zadávacího řízení ve Věstníku veřejných zakázek zajistí zadavatel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2" w:val="left"/>
        </w:tabs>
        <w:bidi w:val="0"/>
        <w:spacing w:before="0" w:line="276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smluvními stranami se sjednává, že pro společné zadání veřejné zakázky na stavební práce platí v plném rozsahu všechna ustanovení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2" w:val="left"/>
        </w:tabs>
        <w:bidi w:val="0"/>
        <w:spacing w:before="0" w:line="283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Obdrží-li zadavatel č. 2 jakýkoliv doklad nebo dokument vztahující se k zadání této veřejné zakázky, je povinen bezodkladně poskytnout dokument v originále zadavateli č. 1.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místa sdružených zadavatelů a jejich odpovědní pracovníci jsou: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56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56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6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Archivaci zadávací dokumentace dle požadavků zákona a jiných právních předpisů zajišťuje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6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Účastníci smlouvy se dohodli, že ostatní skutečnosti neupravené touto smlouvou se řídí občanským zákoníkem.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6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lze měnit a doplňovat pouze písemnými vzestupně číslovanými dodatky se souhlasem obou zadavatelů.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6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je vyhotovena 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čtyřech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stejnopisech, z nichž každá strana obdrží po dvou výtiscích.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6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této smlouvy v informačním systému veřejné správy - Registru smluv. Smluvní strany se dohodly, že zákonnou povinnost dle § 5 odst. 2 zákona 340/2015 Sb., o zvláštních podmínkách účinnosti některých smluv, uveřejňování těchto smluv a o registru smluv (zákon o registru smluv) splní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6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nabývá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platnosti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podpisu smlouvy oprávněnými zástupci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6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účinná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94" w:val="left"/>
        </w:tabs>
        <w:bidi w:val="0"/>
        <w:spacing w:before="0" w:after="340" w:line="26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byla projednána a schválena na zasedání Zastupitelstva obce Malčína dne 30.3.2023, usnesením č. 10a)/30.3.2023.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Příloha: 1x Plná moc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548765" distL="123190" distR="279400" simplePos="0" relativeHeight="125829388" behindDoc="0" locked="0" layoutInCell="1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12700</wp:posOffset>
                </wp:positionV>
                <wp:extent cx="1109345" cy="454025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zadavatele č. 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Malčíně dne: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98.14999999999998pt;margin-top:1.pt;width:87.349999999999994pt;height:35.75pt;z-index:-125829365;mso-wrap-distance-left:9.6999999999999993pt;mso-wrap-distance-right:22.pt;mso-wrap-distance-bottom:121.9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zadavatele č.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Malčíně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597025" distB="635" distL="114300" distR="114300" simplePos="0" relativeHeight="125829390" behindDoc="0" locked="0" layoutInCell="1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1609725</wp:posOffset>
                </wp:positionV>
                <wp:extent cx="1283335" cy="405130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335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89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"X</w:t>
                              <w:tab/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Zdeněk Vacek, starosta Obec Malčín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97.44999999999999pt;margin-top:126.75pt;width:101.05pt;height:31.899999999999999pt;z-index:-125829363;mso-wrap-distance-left:9.pt;mso-wrap-distance-top:125.75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"X</w:t>
                        <w:tab/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Zdeněk Vacek, starosta Obec Malčín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zadavatele č.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1900" w:h="16840"/>
          <w:pgMar w:top="1428" w:left="1062" w:right="1352" w:bottom="12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log. Radovan Necid, ředitel organizace Krajská správa a údržba silnic Vysočiny, příspěvková organizace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1900" w:h="16840"/>
          <w:pgMar w:top="1210" w:left="753" w:right="3199" w:bottom="9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/>
        <w:keepLines/>
        <w:framePr w:w="5549" w:h="298" w:wrap="none" w:vAnchor="text" w:hAnchor="page" w:x="103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PLNÁ MOC</w:t>
      </w:r>
      <w:bookmarkEnd w:id="4"/>
      <w:bookmarkEnd w:id="5"/>
    </w:p>
    <w:p>
      <w:pPr>
        <w:pStyle w:val="Style2"/>
        <w:keepNext w:val="0"/>
        <w:keepLines w:val="0"/>
        <w:framePr w:w="5683" w:h="331" w:wrap="none" w:vAnchor="text" w:hAnchor="page" w:x="3019" w:y="13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Zmocněnec zastoupení zmocnitele v plném rozsahu přijímá.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10" w:left="753" w:right="3199" w:bottom="93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3365500</wp:posOffset>
              </wp:positionH>
              <wp:positionV relativeFrom="page">
                <wp:posOffset>10090785</wp:posOffset>
              </wp:positionV>
              <wp:extent cx="582295" cy="7937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229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65.pt;margin-top:794.54999999999995pt;width:45.850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659130</wp:posOffset>
              </wp:positionH>
              <wp:positionV relativeFrom="page">
                <wp:posOffset>10045065</wp:posOffset>
              </wp:positionV>
              <wp:extent cx="5977255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772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899999999999999pt;margin-top:790.95000000000005pt;width:470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3365500</wp:posOffset>
              </wp:positionH>
              <wp:positionV relativeFrom="page">
                <wp:posOffset>10090785</wp:posOffset>
              </wp:positionV>
              <wp:extent cx="582295" cy="7937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229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65.pt;margin-top:794.54999999999995pt;width:45.850000000000001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659130</wp:posOffset>
              </wp:positionH>
              <wp:positionV relativeFrom="page">
                <wp:posOffset>10045065</wp:posOffset>
              </wp:positionV>
              <wp:extent cx="5977255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772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899999999999999pt;margin-top:790.95000000000005pt;width:470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3379470</wp:posOffset>
              </wp:positionH>
              <wp:positionV relativeFrom="page">
                <wp:posOffset>10109200</wp:posOffset>
              </wp:positionV>
              <wp:extent cx="579120" cy="825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91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66.10000000000002pt;margin-top:796.pt;width:45.600000000000001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3379470</wp:posOffset>
              </wp:positionH>
              <wp:positionV relativeFrom="page">
                <wp:posOffset>10109200</wp:posOffset>
              </wp:positionV>
              <wp:extent cx="579120" cy="825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91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66.10000000000002pt;margin-top:796.pt;width:45.600000000000001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3404235</wp:posOffset>
              </wp:positionH>
              <wp:positionV relativeFrom="page">
                <wp:posOffset>10166985</wp:posOffset>
              </wp:positionV>
              <wp:extent cx="579120" cy="7937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912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68.05000000000001pt;margin-top:800.54999999999995pt;width:45.600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3387090</wp:posOffset>
              </wp:positionH>
              <wp:positionV relativeFrom="page">
                <wp:posOffset>10139680</wp:posOffset>
              </wp:positionV>
              <wp:extent cx="585470" cy="8255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54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66.69999999999999pt;margin-top:798.39999999999998pt;width:46.100000000000001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10107295</wp:posOffset>
              </wp:positionV>
              <wp:extent cx="3892550" cy="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38925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600000000000001pt;margin-top:795.85000000000002pt;width:30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3440430</wp:posOffset>
              </wp:positionH>
              <wp:positionV relativeFrom="page">
                <wp:posOffset>10165715</wp:posOffset>
              </wp:positionV>
              <wp:extent cx="582295" cy="8509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2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270.89999999999998pt;margin-top:800.45000000000005pt;width:45.850000000000001pt;height:6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3440430</wp:posOffset>
              </wp:positionH>
              <wp:positionV relativeFrom="page">
                <wp:posOffset>10165715</wp:posOffset>
              </wp:positionV>
              <wp:extent cx="582295" cy="8509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2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270.89999999999998pt;margin-top:800.45000000000005pt;width:45.850000000000001pt;height:6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532130</wp:posOffset>
              </wp:positionV>
              <wp:extent cx="1761490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14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SSZVZ lll/3473 lll/34712 Malčin průtah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450000000000003pt;margin-top:41.899999999999999pt;width:138.69999999999999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SSZVZ lll/3473 lll/34712 Malčin průtah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646430</wp:posOffset>
              </wp:positionV>
              <wp:extent cx="470027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700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75pt;margin-top:50.899999999999999pt;width:37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532130</wp:posOffset>
              </wp:positionV>
              <wp:extent cx="1761490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14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SSZVZ lll/3473 lll/34712 Malčin průtah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6.450000000000003pt;margin-top:41.899999999999999pt;width:138.69999999999999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SSZVZ lll/3473 lll/34712 Malčin průtah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646430</wp:posOffset>
              </wp:positionV>
              <wp:extent cx="4700270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700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75pt;margin-top:50.899999999999999pt;width:37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599440</wp:posOffset>
              </wp:positionV>
              <wp:extent cx="1758950" cy="9461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589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SSZVZ III/3473JII/34712 Malčín průtah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6.850000000000001pt;margin-top:47.200000000000003pt;width:138.5pt;height:7.4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SSZVZ III/3473JII/34712 Malčín průtah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728345</wp:posOffset>
              </wp:positionV>
              <wp:extent cx="5970905" cy="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9709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149999999999999pt;margin-top:57.350000000000001pt;width:470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577850</wp:posOffset>
              </wp:positionV>
              <wp:extent cx="1761490" cy="9779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14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SSZVZ 111/3473,111/34712 Malčin průtah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58.399999999999999pt;margin-top:45.5pt;width:138.69999999999999pt;height:7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SSZVZ 111/3473,111/34712 Malčin průtah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696595</wp:posOffset>
              </wp:positionV>
              <wp:extent cx="4666615" cy="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6666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00000000000003pt;margin-top:54.850000000000001pt;width:367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217170</wp:posOffset>
              </wp:positionV>
              <wp:extent cx="36830" cy="3937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39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37.649999999999999pt;margin-top:17.100000000000001pt;width:2.8999999999999999pt;height:3.100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679450</wp:posOffset>
              </wp:positionH>
              <wp:positionV relativeFrom="page">
                <wp:posOffset>603885</wp:posOffset>
              </wp:positionV>
              <wp:extent cx="1767840" cy="100330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784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SSZVZ III/3473JII/34712 Malčín průtah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53.5pt;margin-top:47.549999999999997pt;width:139.19999999999999pt;height:7.90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SSZVZ III/3473JII/34712 Malčín průtah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217170</wp:posOffset>
              </wp:positionV>
              <wp:extent cx="36830" cy="3937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39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37.649999999999999pt;margin-top:17.100000000000001pt;width:2.8999999999999999pt;height:3.100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679450</wp:posOffset>
              </wp:positionH>
              <wp:positionV relativeFrom="page">
                <wp:posOffset>603885</wp:posOffset>
              </wp:positionV>
              <wp:extent cx="1767840" cy="10033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784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SSZVZ III/3473JII/34712 Malčín průtah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53.5pt;margin-top:47.549999999999997pt;width:139.19999999999999pt;height:7.9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SSZVZ III/3473JII/34712 Malčín průtah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4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5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6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7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color w:val="DB4548"/>
      <w:sz w:val="12"/>
      <w:szCs w:val="12"/>
      <w:u w:val="none"/>
    </w:rPr>
  </w:style>
  <w:style w:type="character" w:customStyle="1" w:styleId="CharStyle20">
    <w:name w:val="Základní text (2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">
    <w:name w:val="Nadpis #1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after="10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DB4548"/>
      <w:sz w:val="12"/>
      <w:szCs w:val="12"/>
      <w:u w:val="none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FFFFFF"/>
      <w:spacing w:after="100"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FFFFFF"/>
      <w:spacing w:after="24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/Relationships>
</file>