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6966" w:y="89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Kupní smlouva na nákup detekčních průchozích rámů</w:t>
      </w:r>
    </w:p>
    <w:p>
      <w:pPr>
        <w:pStyle w:val="Style4"/>
        <w:framePr w:w="8822" w:h="610" w:hRule="exact" w:wrap="none" w:vAnchor="page" w:hAnchor="page" w:x="1528" w:y="15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Příloha č. 1 Kupní smlouvy na nákup detekčních průchozích rámů</w:t>
        <w:br/>
        <w:t>Technická specifikace detekčních průchozích rámů</w:t>
      </w:r>
    </w:p>
    <w:p>
      <w:pPr>
        <w:pStyle w:val="Style6"/>
        <w:framePr w:w="8822" w:h="11131" w:hRule="exact" w:wrap="none" w:vAnchor="page" w:hAnchor="page" w:x="1528" w:y="266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VŠEOBECNÉ POŽADAVKY</w:t>
      </w:r>
    </w:p>
    <w:p>
      <w:pPr>
        <w:pStyle w:val="Style6"/>
        <w:framePr w:w="8822" w:h="11131" w:hRule="exact" w:wrap="none" w:vAnchor="page" w:hAnchor="page" w:x="1528" w:y="2660"/>
        <w:widowControl w:val="0"/>
        <w:keepNext w:val="0"/>
        <w:keepLines w:val="0"/>
        <w:shd w:val="clear" w:color="auto" w:fill="auto"/>
        <w:bidi w:val="0"/>
        <w:spacing w:before="0" w:after="264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Uvedená technická specifikace stanoví minimální technické požadavky. Dodavatel - Prodávající splní zadání, nabídne-li požadované technické parametry nebo lepší. Pokud je použit obchodní název či označení, nebo způsob řešení specifický pro určitého výrobce, jedná se pouze o ilustrativní příklady vhodných přístrojů. Zadavatel - Kupující umožňuje pro plnění veřejné zakázky použití jiných, kvalitativně a technicky obdobných řešení za současného splnění požadovaného účelu použití a minimálních technických požadavků.</w:t>
      </w:r>
    </w:p>
    <w:p>
      <w:pPr>
        <w:pStyle w:val="Style6"/>
        <w:framePr w:w="8822" w:h="11131" w:hRule="exact" w:wrap="none" w:vAnchor="page" w:hAnchor="page" w:x="1528" w:y="2660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ZÁKLADNÍ SPECIFIKACE</w:t>
      </w:r>
    </w:p>
    <w:p>
      <w:pPr>
        <w:pStyle w:val="Style6"/>
        <w:framePr w:w="8822" w:h="11131" w:hRule="exact" w:wrap="none" w:vAnchor="page" w:hAnchor="page" w:x="1528" w:y="2660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Počet lokalizačních zón musí být minimálně 60 zón</w:t>
      </w:r>
    </w:p>
    <w:p>
      <w:pPr>
        <w:pStyle w:val="Style6"/>
        <w:framePr w:w="8822" w:h="11131" w:hRule="exact" w:wrap="none" w:vAnchor="page" w:hAnchor="page" w:x="1528" w:y="2660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Alarm musí být signalizován akusticky i vizuálně</w:t>
      </w:r>
    </w:p>
    <w:p>
      <w:pPr>
        <w:pStyle w:val="Style6"/>
        <w:framePr w:w="8822" w:h="11131" w:hRule="exact" w:wrap="none" w:vAnchor="page" w:hAnchor="page" w:x="1528" w:y="2660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Zařízení musí být vybaveno zónovým displejem, který je integrovaný do panelu cívek a který indikuje polohu detekovaného předmětu</w:t>
      </w:r>
    </w:p>
    <w:p>
      <w:pPr>
        <w:pStyle w:val="Style6"/>
        <w:framePr w:w="8822" w:h="11131" w:hRule="exact" w:wrap="none" w:vAnchor="page" w:hAnchor="page" w:x="1528" w:y="2660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Elektronická ovládací jednotka musí být integrována nebo pevně spojena se středovým trámkem</w:t>
      </w:r>
    </w:p>
    <w:p>
      <w:pPr>
        <w:pStyle w:val="Style6"/>
        <w:framePr w:w="8822" w:h="11131" w:hRule="exact" w:wrap="none" w:vAnchor="page" w:hAnchor="page" w:x="1528" w:y="2660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Nastavování parametrů musí probíhat přímo zadáváním z klávesnice nebo pomocí obousměrného dálkového ovládání, umožňujícího obsluhovat i několik zařízení Pro komunikaci s obsluhou musí být zařízení vybaveno znakovým alfanumerickým displejem a strukturovaným menu pro snadnou orientaci</w:t>
      </w:r>
    </w:p>
    <w:p>
      <w:pPr>
        <w:pStyle w:val="Style6"/>
        <w:framePr w:w="8822" w:h="11131" w:hRule="exact" w:wrap="none" w:vAnchor="page" w:hAnchor="page" w:x="1528" w:y="2660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Zařízení musí být vybaveno čítačem průchodů, umožňujícím statistiku kontrolovaných osob</w:t>
      </w:r>
    </w:p>
    <w:p>
      <w:pPr>
        <w:pStyle w:val="Style6"/>
        <w:framePr w:w="8822" w:h="11131" w:hRule="exact" w:wrap="none" w:vAnchor="page" w:hAnchor="page" w:x="1528" w:y="2660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Detektor musí být vybaven semafory, usnadňující řízení toku kontrolovaných osob, které využívá mezinárodně srozumitelných signálů „STUJ“ a „JDI“</w:t>
      </w:r>
    </w:p>
    <w:p>
      <w:pPr>
        <w:pStyle w:val="Style6"/>
        <w:framePr w:w="8822" w:h="11131" w:hRule="exact" w:wrap="none" w:vAnchor="page" w:hAnchor="page" w:x="1528" w:y="2660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Software detektoru musí obsahovat programy pro detekci zbraní podle mezinárodních standardů., stejně tak jako materiálově orientované detekční programy</w:t>
      </w:r>
    </w:p>
    <w:p>
      <w:pPr>
        <w:pStyle w:val="Style6"/>
        <w:framePr w:w="8822" w:h="11131" w:hRule="exact" w:wrap="none" w:vAnchor="page" w:hAnchor="page" w:x="1528" w:y="2660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Nastavení citlivosti musí být rozděleno na celkovou citlivost a citlivost jednotlivých zón. Citlivost musí být nastavitelná automaticky nebo manuálně</w:t>
      </w:r>
    </w:p>
    <w:p>
      <w:pPr>
        <w:pStyle w:val="Style6"/>
        <w:framePr w:w="8822" w:h="11131" w:hRule="exact" w:wrap="none" w:vAnchor="page" w:hAnchor="page" w:x="1528" w:y="2660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Detekční parametry musejí být chráněny uživatelsky definovatelným přístupovým kódem a musejí být zálohovány tak, aby při výpadku napájení nedošlo k jejich ztrátě Zařízení musí být vybaveno komplexním autodiagnostickým systémem, který kontroluje správnou funkčnost nejen po zapnutí zařízení, ale i během provozu</w:t>
      </w:r>
    </w:p>
    <w:p>
      <w:pPr>
        <w:pStyle w:val="Style6"/>
        <w:framePr w:w="8822" w:h="11131" w:hRule="exact" w:wrap="none" w:vAnchor="page" w:hAnchor="page" w:x="1528" w:y="2660"/>
        <w:widowControl w:val="0"/>
        <w:keepNext w:val="0"/>
        <w:keepLines w:val="0"/>
        <w:shd w:val="clear" w:color="auto" w:fill="auto"/>
        <w:bidi w:val="0"/>
        <w:spacing w:before="0" w:after="272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 zapnutí nebo volbě příslušné funkce musí být detektor schopen automaticky vyhledat vhodnou pracovní frekvenci pro eliminaci vnějšího elektromagnetického rušení.</w:t>
      </w:r>
    </w:p>
    <w:p>
      <w:pPr>
        <w:pStyle w:val="Style6"/>
        <w:framePr w:w="8822" w:h="11131" w:hRule="exact" w:wrap="none" w:vAnchor="page" w:hAnchor="page" w:x="1528" w:y="2660"/>
        <w:widowControl w:val="0"/>
        <w:keepNext w:val="0"/>
        <w:keepLines w:val="0"/>
        <w:shd w:val="clear" w:color="auto" w:fill="auto"/>
        <w:bidi w:val="0"/>
        <w:spacing w:before="0" w:after="0" w:line="24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FYZICKÉ ROZMĚRY</w:t>
      </w:r>
    </w:p>
    <w:p>
      <w:pPr>
        <w:pStyle w:val="Style6"/>
        <w:framePr w:w="8822" w:h="11131" w:hRule="exact" w:wrap="none" w:vAnchor="page" w:hAnchor="page" w:x="1528" w:y="266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Vnitřní rozměry: min. šířka 800 mm x min. výška 2 000 mm</w:t>
      </w:r>
    </w:p>
    <w:p>
      <w:pPr>
        <w:pStyle w:val="Style6"/>
        <w:framePr w:w="8822" w:h="11131" w:hRule="exact" w:wrap="none" w:vAnchor="page" w:hAnchor="page" w:x="1528" w:y="2660"/>
        <w:widowControl w:val="0"/>
        <w:keepNext w:val="0"/>
        <w:keepLines w:val="0"/>
        <w:shd w:val="clear" w:color="auto" w:fill="auto"/>
        <w:bidi w:val="0"/>
        <w:spacing w:before="0" w:after="276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Vnější rozměry: max. šířka 1000 mm x max. výška 2 300 mm x max. hloubka 750 mm.</w:t>
      </w:r>
    </w:p>
    <w:p>
      <w:pPr>
        <w:pStyle w:val="Style6"/>
        <w:framePr w:w="8822" w:h="11131" w:hRule="exact" w:wrap="none" w:vAnchor="page" w:hAnchor="page" w:x="1528" w:y="2660"/>
        <w:widowControl w:val="0"/>
        <w:keepNext w:val="0"/>
        <w:keepLines w:val="0"/>
        <w:shd w:val="clear" w:color="auto" w:fill="auto"/>
        <w:bidi w:val="0"/>
        <w:spacing w:before="0" w:after="0" w:line="24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POŽADAVKY NA NAPÁJENÍ</w:t>
      </w:r>
    </w:p>
    <w:p>
      <w:pPr>
        <w:pStyle w:val="Style6"/>
        <w:framePr w:w="8822" w:h="11131" w:hRule="exact" w:wrap="none" w:vAnchor="page" w:hAnchor="page" w:x="1528" w:y="266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100 - 240 V ± 10%; 50 nebo 60 Hz; 6 A max.</w:t>
      </w:r>
    </w:p>
    <w:p>
      <w:pPr>
        <w:pStyle w:val="Style6"/>
        <w:framePr w:w="8822" w:h="11131" w:hRule="exact" w:wrap="none" w:vAnchor="page" w:hAnchor="page" w:x="1528" w:y="266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Nouzové napájení min. na 5 hodin plného provozu</w:t>
      </w:r>
    </w:p>
    <w:p>
      <w:pPr>
        <w:pStyle w:val="Style6"/>
        <w:framePr w:w="8822" w:h="11131" w:hRule="exact" w:wrap="none" w:vAnchor="page" w:hAnchor="page" w:x="1528" w:y="266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Délka síťového přívodu min. 2,5 m, možnost připojení k síti z obou stran rámu.</w:t>
      </w:r>
    </w:p>
    <w:p>
      <w:pPr>
        <w:pStyle w:val="Style6"/>
        <w:framePr w:w="8822" w:h="845" w:hRule="exact" w:wrap="none" w:vAnchor="page" w:hAnchor="page" w:x="1528" w:y="1399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472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POŽADAVKY NA PROSTŘEDÍ Provozní teplota: -20°C až +60°C Relativní vlhkost: 0 až 95%, nekondenzující</w:t>
      </w:r>
    </w:p>
    <w:p>
      <w:pPr>
        <w:pStyle w:val="Style8"/>
        <w:framePr w:wrap="none" w:vAnchor="page" w:hAnchor="page" w:x="5814" w:y="151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6959" w:y="1203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Kupní smlouva na nákup detekčních průchozích </w:t>
      </w:r>
      <w:r>
        <w:rPr>
          <w:rStyle w:val="CharStyle10"/>
          <w:i/>
          <w:iCs/>
        </w:rPr>
        <w:t>rámů</w:t>
      </w:r>
    </w:p>
    <w:p>
      <w:pPr>
        <w:pStyle w:val="Style6"/>
        <w:framePr w:w="8779" w:h="7947" w:hRule="exact" w:wrap="none" w:vAnchor="page" w:hAnchor="page" w:x="1549" w:y="1884"/>
        <w:widowControl w:val="0"/>
        <w:keepNext w:val="0"/>
        <w:keepLines w:val="0"/>
        <w:shd w:val="clear" w:color="auto" w:fill="auto"/>
        <w:bidi w:val="0"/>
        <w:spacing w:before="0" w:after="248" w:line="24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Krytí min. IP20.</w:t>
      </w:r>
    </w:p>
    <w:p>
      <w:pPr>
        <w:pStyle w:val="Style6"/>
        <w:framePr w:w="8779" w:h="7947" w:hRule="exact" w:wrap="none" w:vAnchor="page" w:hAnchor="page" w:x="1549" w:y="1884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ZDRAVÍ A BEZPEČNOST</w:t>
      </w:r>
    </w:p>
    <w:p>
      <w:pPr>
        <w:pStyle w:val="Style6"/>
        <w:framePr w:w="8779" w:h="7947" w:hRule="exact" w:wrap="none" w:vAnchor="page" w:hAnchor="page" w:x="1549" w:y="1884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Zařízení musí vyhovovat všem standardům a mezinárodním předpisům pro provoz v ČR a EU Detektor musí vyhovovat nařízení vlády č. 291/2015 Sb., o ochraně před neionizujícím zářením</w:t>
      </w:r>
    </w:p>
    <w:p>
      <w:pPr>
        <w:pStyle w:val="Style6"/>
        <w:framePr w:w="8779" w:h="7947" w:hRule="exact" w:wrap="none" w:vAnchor="page" w:hAnchor="page" w:x="1549" w:y="1884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Provoz detektoru nesmí mít negativní vliv na lidský organismus ani na magnetické nosiče dat (diskety, pásky, kreditní karty...)</w:t>
      </w:r>
    </w:p>
    <w:p>
      <w:pPr>
        <w:pStyle w:val="Style6"/>
        <w:framePr w:w="8779" w:h="7947" w:hRule="exact" w:wrap="none" w:vAnchor="page" w:hAnchor="page" w:x="1549" w:y="1884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Detektor musí být bezpečný pro osoby s implantovaným kardiostimulátorem a těhotné ženy</w:t>
      </w:r>
    </w:p>
    <w:p>
      <w:pPr>
        <w:pStyle w:val="Style6"/>
        <w:framePr w:w="8779" w:h="7947" w:hRule="exact" w:wrap="none" w:vAnchor="page" w:hAnchor="page" w:x="1549" w:y="1884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Zařízení musí splňovat standard CE</w:t>
      </w:r>
    </w:p>
    <w:p>
      <w:pPr>
        <w:pStyle w:val="Style6"/>
        <w:framePr w:w="8779" w:h="7947" w:hRule="exact" w:wrap="none" w:vAnchor="page" w:hAnchor="page" w:x="1549" w:y="1884"/>
        <w:widowControl w:val="0"/>
        <w:keepNext w:val="0"/>
        <w:keepLines w:val="0"/>
        <w:shd w:val="clear" w:color="auto" w:fill="auto"/>
        <w:bidi w:val="0"/>
        <w:spacing w:before="0" w:after="272" w:line="259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Výrobce zařízení musí mít certifikaci ISO 9001:2008.</w:t>
      </w:r>
    </w:p>
    <w:p>
      <w:pPr>
        <w:pStyle w:val="Style6"/>
        <w:framePr w:w="8779" w:h="7947" w:hRule="exact" w:wrap="none" w:vAnchor="page" w:hAnchor="page" w:x="1549" w:y="1884"/>
        <w:widowControl w:val="0"/>
        <w:keepNext w:val="0"/>
        <w:keepLines w:val="0"/>
        <w:shd w:val="clear" w:color="auto" w:fill="auto"/>
        <w:bidi w:val="0"/>
        <w:spacing w:before="0" w:after="0" w:line="24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ZÁRUKA</w:t>
      </w:r>
    </w:p>
    <w:p>
      <w:pPr>
        <w:pStyle w:val="Style6"/>
        <w:framePr w:w="8779" w:h="7947" w:hRule="exact" w:wrap="none" w:vAnchor="page" w:hAnchor="page" w:x="1549" w:y="1884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0" w:right="434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zařízení se musí vztahovat záruka 24 měsíců OSTATNÍ POŽADAVKY</w:t>
      </w:r>
    </w:p>
    <w:p>
      <w:pPr>
        <w:pStyle w:val="Style6"/>
        <w:framePr w:w="8779" w:h="7947" w:hRule="exact" w:wrap="none" w:vAnchor="page" w:hAnchor="page" w:x="1549" w:y="188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Zařízení musí být vybaveno funkcí, vydávající signál v případě ztráty napájení (power guard)</w:t>
      </w:r>
    </w:p>
    <w:p>
      <w:pPr>
        <w:pStyle w:val="Style6"/>
        <w:framePr w:w="8779" w:h="7947" w:hRule="exact" w:wrap="none" w:vAnchor="page" w:hAnchor="page" w:x="1549" w:y="188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Zařízení musí být vybavenou funkcí ochrany proti neoprávněné změně parametrů (calibration guard)</w:t>
      </w:r>
    </w:p>
    <w:p>
      <w:pPr>
        <w:pStyle w:val="Style6"/>
        <w:framePr w:w="8779" w:h="7947" w:hRule="exact" w:wrap="none" w:vAnchor="page" w:hAnchor="page" w:x="1549" w:y="188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82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Zařízení musí být vybaveno funkcí náhodného alarmu Zařízení musí být vybaveno funkcí „standby“ pro úsporný režim Návody na obsluhu a zaškolení obsluhy</w:t>
      </w:r>
    </w:p>
    <w:p>
      <w:pPr>
        <w:pStyle w:val="Style6"/>
        <w:framePr w:w="8779" w:h="7947" w:hRule="exact" w:wrap="none" w:vAnchor="page" w:hAnchor="page" w:x="1549" w:y="188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Zadavatel požaduje doklad o splnění podmínek zákona č. 22/1997 Sb., o technických požadavcích na výrobky a o změně a doplnění některých zákonů, ve znění pozdějších předpisů (zákon č. 90/2016 Sb., o posuzování shody stanovených výrobků při jejich dodávání na trh, ve znění pozdějších předpisů), především NV 117/2016 Sb., o posuzování shody výrobků z hlediska elektromagnetické kompatibility při jejich dodávání na trh aNV 118/2016 Sb., o posuzování shody elektrických zařízení určených pro používání v určitých mezích napětí při jejich dodávání</w:t>
      </w:r>
    </w:p>
    <w:p>
      <w:pPr>
        <w:pStyle w:val="Style8"/>
        <w:framePr w:wrap="none" w:vAnchor="page" w:hAnchor="page" w:x="5841" w:y="154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12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er or footer|1_"/>
    <w:basedOn w:val="DefaultParagraphFont"/>
    <w:link w:val="Style2"/>
    <w:rPr>
      <w:b w:val="0"/>
      <w:bCs w:val="0"/>
      <w:i/>
      <w:iCs/>
      <w:u w:val="none"/>
      <w:strike w:val="0"/>
      <w:smallCaps w:val="0"/>
      <w:sz w:val="15"/>
      <w:szCs w:val="15"/>
    </w:rPr>
  </w:style>
  <w:style w:type="character" w:customStyle="1" w:styleId="CharStyle5">
    <w:name w:val="Body text|3_"/>
    <w:basedOn w:val="DefaultParagraphFont"/>
    <w:link w:val="Style4"/>
    <w:rPr>
      <w:b/>
      <w:bCs/>
      <w:i/>
      <w:iCs/>
      <w:u w:val="none"/>
      <w:strike w:val="0"/>
      <w:smallCaps w:val="0"/>
      <w:sz w:val="22"/>
      <w:szCs w:val="22"/>
    </w:rPr>
  </w:style>
  <w:style w:type="character" w:customStyle="1" w:styleId="CharStyle7">
    <w:name w:val="Body text|2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9">
    <w:name w:val="Header or footer|2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0">
    <w:name w:val="Header or footer|1 + 8 pt"/>
    <w:basedOn w:val="CharStyle3"/>
    <w:rPr>
      <w:lang w:val="cs-CZ" w:eastAsia="cs-CZ" w:bidi="cs-CZ"/>
      <w:sz w:val="16"/>
      <w:szCs w:val="1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Header or footer|1"/>
    <w:basedOn w:val="Normal"/>
    <w:link w:val="CharStyle3"/>
    <w:pPr>
      <w:widowControl w:val="0"/>
      <w:shd w:val="clear" w:color="auto" w:fill="FFFFFF"/>
      <w:spacing w:line="166" w:lineRule="exact"/>
    </w:pPr>
    <w:rPr>
      <w:b w:val="0"/>
      <w:bCs w:val="0"/>
      <w:i/>
      <w:iCs/>
      <w:u w:val="none"/>
      <w:strike w:val="0"/>
      <w:smallCaps w:val="0"/>
      <w:sz w:val="15"/>
      <w:szCs w:val="15"/>
    </w:rPr>
  </w:style>
  <w:style w:type="paragraph" w:customStyle="1" w:styleId="Style4">
    <w:name w:val="Body text|3"/>
    <w:basedOn w:val="Normal"/>
    <w:link w:val="CharStyle5"/>
    <w:pPr>
      <w:widowControl w:val="0"/>
      <w:shd w:val="clear" w:color="auto" w:fill="FFFFFF"/>
      <w:jc w:val="center"/>
      <w:spacing w:after="580" w:line="264" w:lineRule="exact"/>
    </w:pPr>
    <w:rPr>
      <w:b/>
      <w:bCs/>
      <w:i/>
      <w:iCs/>
      <w:u w:val="none"/>
      <w:strike w:val="0"/>
      <w:smallCaps w:val="0"/>
      <w:sz w:val="22"/>
      <w:szCs w:val="22"/>
    </w:rPr>
  </w:style>
  <w:style w:type="paragraph" w:customStyle="1" w:styleId="Style6">
    <w:name w:val="Body text|2"/>
    <w:basedOn w:val="Normal"/>
    <w:link w:val="CharStyle7"/>
    <w:pPr>
      <w:widowControl w:val="0"/>
      <w:shd w:val="clear" w:color="auto" w:fill="FFFFFF"/>
      <w:jc w:val="both"/>
      <w:spacing w:before="580" w:line="26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8">
    <w:name w:val="Header or footer|2"/>
    <w:basedOn w:val="Normal"/>
    <w:link w:val="CharStyle9"/>
    <w:pPr>
      <w:widowControl w:val="0"/>
      <w:shd w:val="clear" w:color="auto" w:fill="FFFFFF"/>
      <w:spacing w:line="22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