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6966" w:y="8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Kupní smlouva na nákup detekčních průchozích rámů</w:t>
      </w:r>
    </w:p>
    <w:p>
      <w:pPr>
        <w:pStyle w:val="Style4"/>
        <w:framePr w:w="8822" w:h="610" w:hRule="exact" w:wrap="none" w:vAnchor="page" w:hAnchor="page" w:x="1528" w:y="15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 Kupní smlouvy na nákup detekčních průchozích rámů</w:t>
        <w:br/>
        <w:t>Technická specifikace detekčních průchozích rámů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VŠEOBECNÉ POŽADAVKY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264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Uvedená technická specifikace stanoví minimální technické požadavky. Dodavatel - Prodávající splní zadání, nabídne-li požadované technické parametry nebo lepší. Pokud je použit obchodní název či označení, nebo způsob řešení specifický pro určitého výrobce, jedná se pouze o ilustrativní příklady vhodných přístrojů. Zadavatel - Kupující umožňuje pro plnění veřejné zakázky použití jiných, kvalitativně a technicky obdobných řešení za současného splnění požadovaného účelu použití a minimálních technických požadavků.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SPECIFIKACE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Počet lokalizačních zón musí být minimálně 60 zón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Alarm musí být signalizován akusticky i vizuálně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Zařízení musí být vybaveno zónovým displejem, který je integrovaný do panelu cívek a který indikuje polohu detekovaného předmětu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Elektronická ovládací jednotka musí být integrována nebo pevně spojena se středovým trámkem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Nastavování parametrů musí probíhat přímo zadáváním z klávesnice nebo pomocí obousměrného dálkového ovládání, umožňujícího obsluhovat i několik zařízení Pro komunikaci s obsluhou musí být zařízení vybaveno znakovým alfanumerickým displejem a strukturovaným menu pro snadnou orientaci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Zařízení musí být vybaveno čítačem průchodů, umožňujícím statistiku kontrolovaných osob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Detektor musí být vybaven semafory, usnadňující řízení toku kontrolovaných osob, které využívá mezinárodně srozumitelných signálů „STUJ“ a „JDI“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Software detektoru musí obsahovat programy pro detekci zbraní podle mezinárodních standardů., stejně tak jako materiálově orientované detekční programy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Nastavení citlivosti musí být rozděleno na celkovou citlivost a citlivost jednotlivých zón. Citlivost musí být nastavitelná automaticky nebo manuálně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Detekční parametry musejí být chráněny uživatelsky definovatelným přístupovým kódem a musejí být zálohovány tak, aby při výpadku napájení nedošlo k jejich ztrátě Zařízení musí být vybaveno komplexním autodiagnostickým systémem, který kontroluje správnou funkčnost nejen po zapnutí zařízení, ale i během provozu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272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 zapnutí nebo volbě příslušné funkce musí být detektor schopen automaticky vyhledat vhodnou pracovní frekvenci pro eliminaci vnějšího elektromagnetického rušení.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FYZICKÉ ROZMĚRY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Vnitřní rozměry: min. šířka 800 mm x min. výška 2 000 mm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276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Vnější rozměry: max. šířka 1000 mm x max. výška 2 300 mm x max. hloubka 750 mm.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POŽADAVKY NA NAPÁJENÍ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100 - 240 V ± 10%; 50 nebo 60 Hz; 6 A max.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Nouzové napájení min. na 5 hodin plného provozu</w:t>
      </w:r>
    </w:p>
    <w:p>
      <w:pPr>
        <w:pStyle w:val="Style6"/>
        <w:framePr w:w="8822" w:h="11131" w:hRule="exact" w:wrap="none" w:vAnchor="page" w:hAnchor="page" w:x="1528" w:y="2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Délka síťového přívodu min. 2,5 m, možnost připojení k síti z obou stran rámu.</w:t>
      </w:r>
    </w:p>
    <w:p>
      <w:pPr>
        <w:pStyle w:val="Style6"/>
        <w:framePr w:w="8822" w:h="845" w:hRule="exact" w:wrap="none" w:vAnchor="page" w:hAnchor="page" w:x="1528" w:y="13993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47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POŽADAVKY NA PROSTŘEDÍ Provozní teplota: -20°C až +60°C Relativní vlhkost: 0 až 95%, nekondenzující</w:t>
      </w:r>
    </w:p>
    <w:p>
      <w:pPr>
        <w:pStyle w:val="Style8"/>
        <w:framePr w:wrap="none" w:vAnchor="page" w:hAnchor="page" w:x="5814" w:y="151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6959" w:y="120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Kupní smlouva na nákup detekčních průchozích </w:t>
      </w:r>
      <w:r>
        <w:rPr>
          <w:rStyle w:val="CharStyle10"/>
          <w:i/>
          <w:iCs/>
        </w:rPr>
        <w:t>rámů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248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Krytí min. IP20.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ZDRAVÍ A BEZPEČNOST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Zařízení musí vyhovovat všem standardům a mezinárodním předpisům pro provoz v ČR a EU Detektor musí vyhovovat nařízení vlády č. 291/2015 Sb., o ochraně před neionizujícím zářením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 detektoru nesmí mít negativní vliv na lidský organismus ani na magnetické nosiče dat (diskety, pásky, kreditní karty...)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Detektor musí být bezpečný pro osoby s implantovaným kardiostimulátorem a těhotné ženy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Zařízení musí splňovat standard CE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272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Výrobce zařízení musí mít certifikaci ISO 9001:2008.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ZÁRUKA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0" w:right="43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zařízení se musí vztahovat záruka 24 měsíců OSTATNÍ POŽADAVKY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Zařízení musí být vybaveno funkcí, vydávající signál v případě ztráty napájení (power guard)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Zařízení musí být vybavenou funkcí ochrany proti neoprávněné změně parametrů (calibration guard)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8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Zařízení musí být vybaveno funkcí náhodného alarmu Zařízení musí být vybaveno funkcí „standby“ pro úsporný režim Návody na obsluhu a zaškolení obsluhy</w:t>
      </w:r>
    </w:p>
    <w:p>
      <w:pPr>
        <w:pStyle w:val="Style6"/>
        <w:framePr w:w="8779" w:h="7947" w:hRule="exact" w:wrap="none" w:vAnchor="page" w:hAnchor="page" w:x="1549" w:y="18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Zadavatel požaduje doklad o splnění podmínek zákona č. 22/1997 Sb., o technických požadavcích na výrobky a o změně a doplnění některých zákonů, ve znění pozdějších předpisů (zákon č. 90/2016 Sb., o posuzování shody stanovených výrobků při jejich dodávání na trh, ve znění pozdějších předpisů), především NV 117/2016 Sb., o posuzování shody výrobků z hlediska elektromagnetické kompatibility při jejich dodávání na trh aNV 118/2016 Sb., o posuzování shody elektrických zařízení určených pro používání v určitých mezích napětí při jejich dodávání</w:t>
      </w:r>
    </w:p>
    <w:p>
      <w:pPr>
        <w:pStyle w:val="Style8"/>
        <w:framePr w:wrap="none" w:vAnchor="page" w:hAnchor="page" w:x="5841" w:y="154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 w:val="0"/>
      <w:bCs w:val="0"/>
      <w:i/>
      <w:iCs/>
      <w:u w:val="none"/>
      <w:strike w:val="0"/>
      <w:smallCaps w:val="0"/>
      <w:sz w:val="15"/>
      <w:szCs w:val="15"/>
    </w:rPr>
  </w:style>
  <w:style w:type="character" w:customStyle="1" w:styleId="CharStyle5">
    <w:name w:val="Body text|3_"/>
    <w:basedOn w:val="DefaultParagraphFont"/>
    <w:link w:val="Style4"/>
    <w:rPr>
      <w:b/>
      <w:bCs/>
      <w:i/>
      <w:iCs/>
      <w:u w:val="none"/>
      <w:strike w:val="0"/>
      <w:smallCaps w:val="0"/>
      <w:sz w:val="22"/>
      <w:szCs w:val="22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9">
    <w:name w:val="Header or footer|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0">
    <w:name w:val="Header or footer|1 + 8 pt"/>
    <w:basedOn w:val="CharStyle3"/>
    <w:rPr>
      <w:lang w:val="cs-CZ" w:eastAsia="cs-CZ" w:bidi="cs-CZ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er or footer|1"/>
    <w:basedOn w:val="Normal"/>
    <w:link w:val="CharStyle3"/>
    <w:pPr>
      <w:widowControl w:val="0"/>
      <w:shd w:val="clear" w:color="auto" w:fill="FFFFFF"/>
      <w:spacing w:line="166" w:lineRule="exact"/>
    </w:pPr>
    <w:rPr>
      <w:b w:val="0"/>
      <w:bCs w:val="0"/>
      <w:i/>
      <w:iCs/>
      <w:u w:val="none"/>
      <w:strike w:val="0"/>
      <w:smallCaps w:val="0"/>
      <w:sz w:val="15"/>
      <w:szCs w:val="15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jc w:val="center"/>
      <w:spacing w:after="580" w:line="264" w:lineRule="exact"/>
    </w:pPr>
    <w:rPr>
      <w:b/>
      <w:bCs/>
      <w:i/>
      <w:iCs/>
      <w:u w:val="none"/>
      <w:strike w:val="0"/>
      <w:smallCaps w:val="0"/>
      <w:sz w:val="22"/>
      <w:szCs w:val="22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jc w:val="both"/>
      <w:spacing w:before="580" w:line="26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8">
    <w:name w:val="Header or footer|2"/>
    <w:basedOn w:val="Normal"/>
    <w:link w:val="CharStyle9"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