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94EE" w14:textId="0247E779" w:rsidR="00046680" w:rsidRPr="0053252E" w:rsidRDefault="00046680" w:rsidP="00FE059C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3252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BD2A18" w:rsidRPr="0053252E">
        <w:rPr>
          <w:rFonts w:ascii="Arial" w:eastAsiaTheme="minorHAnsi" w:hAnsi="Arial" w:cs="Arial"/>
          <w:b/>
          <w:sz w:val="22"/>
          <w:szCs w:val="22"/>
          <w:lang w:eastAsia="en-US"/>
        </w:rPr>
        <w:t>1</w:t>
      </w:r>
    </w:p>
    <w:p w14:paraId="07C150E5" w14:textId="09ECC291" w:rsidR="00046680" w:rsidRPr="00B00A80" w:rsidRDefault="00076589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53252E">
        <w:rPr>
          <w:rFonts w:ascii="Arial" w:eastAsiaTheme="minorHAnsi" w:hAnsi="Arial" w:cs="Arial"/>
          <w:b/>
          <w:sz w:val="20"/>
          <w:lang w:eastAsia="en-US"/>
        </w:rPr>
        <w:t>ke Smlouvě č. 410004</w:t>
      </w:r>
      <w:r w:rsidR="0035401C" w:rsidRPr="0053252E">
        <w:rPr>
          <w:rFonts w:ascii="Arial" w:eastAsiaTheme="minorHAnsi" w:hAnsi="Arial" w:cs="Arial"/>
          <w:b/>
          <w:sz w:val="20"/>
          <w:lang w:eastAsia="en-US"/>
        </w:rPr>
        <w:t>3956</w:t>
      </w:r>
      <w:r w:rsidRPr="0053252E">
        <w:rPr>
          <w:rFonts w:ascii="Arial" w:eastAsiaTheme="minorHAnsi" w:hAnsi="Arial" w:cs="Arial"/>
          <w:b/>
          <w:sz w:val="20"/>
          <w:lang w:eastAsia="en-US"/>
        </w:rPr>
        <w:t xml:space="preserve"> o poskyt</w:t>
      </w:r>
      <w:r w:rsidR="0045733E" w:rsidRPr="0053252E">
        <w:rPr>
          <w:rFonts w:ascii="Arial" w:eastAsiaTheme="minorHAnsi" w:hAnsi="Arial" w:cs="Arial"/>
          <w:b/>
          <w:sz w:val="20"/>
          <w:lang w:eastAsia="en-US"/>
        </w:rPr>
        <w:t>ová</w:t>
      </w:r>
      <w:r w:rsidRPr="0053252E">
        <w:rPr>
          <w:rFonts w:ascii="Arial" w:eastAsiaTheme="minorHAnsi" w:hAnsi="Arial" w:cs="Arial"/>
          <w:b/>
          <w:sz w:val="20"/>
          <w:lang w:eastAsia="en-US"/>
        </w:rPr>
        <w:t xml:space="preserve">ní </w:t>
      </w:r>
      <w:r w:rsidR="0053252E" w:rsidRPr="0053252E">
        <w:rPr>
          <w:rFonts w:ascii="Arial" w:eastAsiaTheme="minorHAnsi" w:hAnsi="Arial" w:cs="Arial"/>
          <w:b/>
          <w:sz w:val="20"/>
          <w:lang w:eastAsia="en-US"/>
        </w:rPr>
        <w:t>služeb datového centra</w:t>
      </w:r>
      <w:r w:rsidRPr="0053252E" w:rsidDel="00076589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585801" w:rsidRPr="0053252E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53252E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BE3CE3" w:rsidRPr="0053252E">
        <w:rPr>
          <w:rFonts w:ascii="Arial" w:eastAsiaTheme="minorHAnsi" w:hAnsi="Arial" w:cs="Arial"/>
          <w:sz w:val="20"/>
          <w:lang w:eastAsia="en-US"/>
        </w:rPr>
        <w:t>2</w:t>
      </w:r>
      <w:r w:rsidR="0053252E" w:rsidRPr="0053252E">
        <w:rPr>
          <w:rFonts w:ascii="Arial" w:eastAsiaTheme="minorHAnsi" w:hAnsi="Arial" w:cs="Arial"/>
          <w:sz w:val="20"/>
          <w:lang w:eastAsia="en-US"/>
        </w:rPr>
        <w:t>1</w:t>
      </w:r>
      <w:r w:rsidR="00315C1D" w:rsidRPr="0053252E">
        <w:rPr>
          <w:rFonts w:ascii="Arial" w:eastAsiaTheme="minorHAnsi" w:hAnsi="Arial" w:cs="Arial"/>
          <w:sz w:val="20"/>
          <w:lang w:eastAsia="en-US"/>
        </w:rPr>
        <w:t>.</w:t>
      </w:r>
      <w:r w:rsidR="006601A4" w:rsidRPr="0053252E">
        <w:rPr>
          <w:rFonts w:ascii="Arial" w:eastAsiaTheme="minorHAnsi" w:hAnsi="Arial" w:cs="Arial"/>
          <w:sz w:val="20"/>
          <w:lang w:eastAsia="en-US"/>
        </w:rPr>
        <w:t xml:space="preserve"> </w:t>
      </w:r>
      <w:r w:rsidR="0053252E" w:rsidRPr="0053252E">
        <w:rPr>
          <w:rFonts w:ascii="Arial" w:eastAsiaTheme="minorHAnsi" w:hAnsi="Arial" w:cs="Arial"/>
          <w:sz w:val="20"/>
          <w:lang w:eastAsia="en-US"/>
        </w:rPr>
        <w:t>07</w:t>
      </w:r>
      <w:r w:rsidR="00315C1D" w:rsidRPr="0053252E">
        <w:rPr>
          <w:rFonts w:ascii="Arial" w:eastAsiaTheme="minorHAnsi" w:hAnsi="Arial" w:cs="Arial"/>
          <w:sz w:val="20"/>
          <w:lang w:eastAsia="en-US"/>
        </w:rPr>
        <w:t>.</w:t>
      </w:r>
      <w:r w:rsidR="006601A4" w:rsidRPr="0053252E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53252E">
        <w:rPr>
          <w:rFonts w:ascii="Arial" w:eastAsiaTheme="minorHAnsi" w:hAnsi="Arial" w:cs="Arial"/>
          <w:sz w:val="20"/>
          <w:lang w:eastAsia="en-US"/>
        </w:rPr>
        <w:t>20</w:t>
      </w:r>
      <w:r w:rsidR="007E5825" w:rsidRPr="0053252E">
        <w:rPr>
          <w:rFonts w:ascii="Arial" w:eastAsiaTheme="minorHAnsi" w:hAnsi="Arial" w:cs="Arial"/>
          <w:sz w:val="20"/>
          <w:lang w:eastAsia="en-US"/>
        </w:rPr>
        <w:t>1</w:t>
      </w:r>
      <w:r w:rsidR="0035401C" w:rsidRPr="0053252E">
        <w:rPr>
          <w:rFonts w:ascii="Arial" w:eastAsiaTheme="minorHAnsi" w:hAnsi="Arial" w:cs="Arial"/>
          <w:sz w:val="20"/>
          <w:lang w:eastAsia="en-US"/>
        </w:rPr>
        <w:t>6</w:t>
      </w:r>
      <w:r w:rsidR="00517054" w:rsidRPr="0053252E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53252E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BA25C8" w:rsidRPr="0053252E">
        <w:rPr>
          <w:rFonts w:ascii="Arial" w:eastAsiaTheme="minorHAnsi" w:hAnsi="Arial" w:cs="Arial"/>
          <w:sz w:val="20"/>
          <w:lang w:eastAsia="en-US"/>
        </w:rPr>
        <w:t>Všeobecnou zdravotní pojišťovnou České republ</w:t>
      </w:r>
      <w:r w:rsidR="007B7882" w:rsidRPr="0053252E">
        <w:rPr>
          <w:rFonts w:ascii="Arial" w:eastAsiaTheme="minorHAnsi" w:hAnsi="Arial" w:cs="Arial"/>
          <w:sz w:val="20"/>
          <w:lang w:eastAsia="en-US"/>
        </w:rPr>
        <w:t>iky</w:t>
      </w:r>
      <w:r w:rsidR="007B7882" w:rsidRPr="0053252E">
        <w:rPr>
          <w:rFonts w:ascii="Arial" w:eastAsiaTheme="minorHAnsi" w:hAnsi="Arial" w:cs="Arial"/>
          <w:sz w:val="20"/>
          <w:lang w:eastAsia="en-US"/>
        </w:rPr>
        <w:br/>
      </w:r>
      <w:r w:rsidR="00BA25C8" w:rsidRPr="0053252E">
        <w:rPr>
          <w:rFonts w:ascii="Arial" w:eastAsiaTheme="minorHAnsi" w:hAnsi="Arial" w:cs="Arial"/>
          <w:sz w:val="20"/>
          <w:lang w:eastAsia="en-US"/>
        </w:rPr>
        <w:t>a společností</w:t>
      </w:r>
      <w:r w:rsidR="0035401C" w:rsidRPr="0053252E">
        <w:rPr>
          <w:rFonts w:ascii="Arial" w:eastAsiaTheme="minorHAnsi" w:hAnsi="Arial" w:cs="Arial"/>
          <w:sz w:val="20"/>
          <w:lang w:eastAsia="en-US"/>
        </w:rPr>
        <w:t xml:space="preserve"> ČD – </w:t>
      </w:r>
      <w:r w:rsidR="0035401C" w:rsidRPr="00B00A80">
        <w:rPr>
          <w:rFonts w:ascii="Arial" w:eastAsiaTheme="minorHAnsi" w:hAnsi="Arial" w:cs="Arial"/>
          <w:sz w:val="20"/>
          <w:lang w:eastAsia="en-US"/>
        </w:rPr>
        <w:t xml:space="preserve">Telematika </w:t>
      </w:r>
      <w:r w:rsidR="00B90587" w:rsidRPr="00B00A80">
        <w:rPr>
          <w:rFonts w:ascii="Arial" w:eastAsiaTheme="minorHAnsi" w:hAnsi="Arial" w:cs="Arial"/>
          <w:bCs/>
          <w:sz w:val="20"/>
          <w:lang w:eastAsia="en-US"/>
        </w:rPr>
        <w:t>a.s.</w:t>
      </w:r>
      <w:r w:rsidR="007E5825" w:rsidRPr="00B00A80">
        <w:rPr>
          <w:rFonts w:ascii="Arial" w:eastAsiaTheme="minorHAnsi" w:hAnsi="Arial" w:cs="Arial"/>
          <w:sz w:val="20"/>
          <w:lang w:eastAsia="en-US"/>
        </w:rPr>
        <w:t xml:space="preserve">, </w:t>
      </w:r>
      <w:r w:rsidR="00BA25C8" w:rsidRPr="00B00A80">
        <w:rPr>
          <w:rFonts w:ascii="Arial" w:eastAsiaTheme="minorHAnsi" w:hAnsi="Arial" w:cs="Arial"/>
          <w:sz w:val="20"/>
          <w:lang w:eastAsia="en-US"/>
        </w:rPr>
        <w:t>IČO</w:t>
      </w:r>
      <w:r w:rsidR="00315532" w:rsidRPr="00B00A80">
        <w:rPr>
          <w:rFonts w:ascii="Arial" w:eastAsiaTheme="minorHAnsi" w:hAnsi="Arial" w:cs="Arial"/>
          <w:sz w:val="20"/>
          <w:lang w:eastAsia="en-US"/>
        </w:rPr>
        <w:t>:</w:t>
      </w:r>
      <w:r w:rsidR="00BA25C8" w:rsidRPr="00B00A80">
        <w:rPr>
          <w:rFonts w:ascii="Arial" w:eastAsiaTheme="minorHAnsi" w:hAnsi="Arial" w:cs="Arial"/>
          <w:sz w:val="20"/>
          <w:lang w:eastAsia="en-US"/>
        </w:rPr>
        <w:t xml:space="preserve"> </w:t>
      </w:r>
      <w:r w:rsidR="0035401C" w:rsidRPr="00B00A80">
        <w:rPr>
          <w:rFonts w:ascii="Arial" w:eastAsiaTheme="minorHAnsi" w:hAnsi="Arial" w:cs="Arial"/>
          <w:sz w:val="20"/>
          <w:lang w:eastAsia="en-US"/>
        </w:rPr>
        <w:t>614 59 445</w:t>
      </w:r>
      <w:r w:rsidR="00E47668" w:rsidRPr="00B00A80">
        <w:rPr>
          <w:rFonts w:ascii="Arial" w:eastAsiaTheme="minorHAnsi" w:hAnsi="Arial" w:cs="Arial"/>
          <w:sz w:val="20"/>
          <w:lang w:eastAsia="en-US"/>
        </w:rPr>
        <w:t xml:space="preserve">, </w:t>
      </w:r>
    </w:p>
    <w:p w14:paraId="1E49247B" w14:textId="6A14CEA9" w:rsidR="00046680" w:rsidRPr="00B00A80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B00A80">
        <w:rPr>
          <w:rFonts w:ascii="Arial" w:eastAsiaTheme="minorHAnsi" w:hAnsi="Arial" w:cs="Arial"/>
          <w:sz w:val="20"/>
          <w:lang w:eastAsia="en-US"/>
        </w:rPr>
        <w:t>(dále jen „</w:t>
      </w:r>
      <w:r w:rsidR="00046680" w:rsidRPr="00B00A80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B00A80">
        <w:rPr>
          <w:rFonts w:ascii="Arial" w:eastAsiaTheme="minorHAnsi" w:hAnsi="Arial" w:cs="Arial"/>
          <w:sz w:val="20"/>
          <w:lang w:eastAsia="en-US"/>
        </w:rPr>
        <w:t>“</w:t>
      </w:r>
      <w:r w:rsidR="00046680" w:rsidRPr="00B00A80">
        <w:rPr>
          <w:rFonts w:ascii="Arial" w:eastAsiaTheme="minorHAnsi" w:hAnsi="Arial" w:cs="Arial"/>
          <w:sz w:val="20"/>
          <w:lang w:eastAsia="en-US"/>
        </w:rPr>
        <w:t xml:space="preserve"> a „</w:t>
      </w:r>
      <w:r w:rsidR="00046680" w:rsidRPr="00B00A80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53252E" w:rsidRPr="00B00A80">
        <w:rPr>
          <w:rFonts w:ascii="Arial" w:eastAsiaTheme="minorHAnsi" w:hAnsi="Arial" w:cs="Arial"/>
          <w:b/>
          <w:sz w:val="20"/>
          <w:lang w:eastAsia="en-US"/>
        </w:rPr>
        <w:t>1</w:t>
      </w:r>
      <w:r w:rsidRPr="00B00A80">
        <w:rPr>
          <w:rFonts w:ascii="Arial" w:eastAsiaTheme="minorHAnsi" w:hAnsi="Arial" w:cs="Arial"/>
          <w:sz w:val="20"/>
          <w:lang w:eastAsia="en-US"/>
        </w:rPr>
        <w:t>“</w:t>
      </w:r>
      <w:r w:rsidR="00046680" w:rsidRPr="00B00A80">
        <w:rPr>
          <w:rFonts w:ascii="Arial" w:eastAsiaTheme="minorHAnsi" w:hAnsi="Arial" w:cs="Arial"/>
          <w:sz w:val="20"/>
          <w:lang w:eastAsia="en-US"/>
        </w:rPr>
        <w:t>)</w:t>
      </w:r>
    </w:p>
    <w:p w14:paraId="77093A81" w14:textId="5F551BFB" w:rsidR="007E5825" w:rsidRDefault="00B26B46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B00A80">
        <w:rPr>
          <w:rFonts w:ascii="Arial" w:eastAsiaTheme="minorHAnsi" w:hAnsi="Arial" w:cs="Arial"/>
          <w:sz w:val="20"/>
          <w:lang w:eastAsia="en-US"/>
        </w:rPr>
        <w:t xml:space="preserve">evidován VZP ČR pod </w:t>
      </w:r>
      <w:r w:rsidR="007E5825" w:rsidRPr="00B00A80">
        <w:rPr>
          <w:rFonts w:ascii="Arial" w:eastAsiaTheme="minorHAnsi" w:hAnsi="Arial" w:cs="Arial"/>
          <w:sz w:val="20"/>
          <w:lang w:eastAsia="en-US"/>
        </w:rPr>
        <w:t xml:space="preserve">ID: </w:t>
      </w:r>
      <w:r w:rsidR="009F5A68" w:rsidRPr="00B00A80">
        <w:rPr>
          <w:rFonts w:ascii="Arial" w:eastAsiaTheme="minorHAnsi" w:hAnsi="Arial" w:cs="Arial"/>
          <w:sz w:val="20"/>
          <w:lang w:eastAsia="en-US"/>
        </w:rPr>
        <w:t>2</w:t>
      </w:r>
      <w:r w:rsidR="00BD2A18" w:rsidRPr="00B00A80">
        <w:rPr>
          <w:rFonts w:ascii="Arial" w:eastAsiaTheme="minorHAnsi" w:hAnsi="Arial" w:cs="Arial"/>
          <w:sz w:val="20"/>
          <w:lang w:eastAsia="en-US"/>
        </w:rPr>
        <w:t>3</w:t>
      </w:r>
      <w:r w:rsidR="0061737D" w:rsidRPr="00B00A80">
        <w:rPr>
          <w:rFonts w:ascii="Arial" w:eastAsiaTheme="minorHAnsi" w:hAnsi="Arial" w:cs="Arial"/>
          <w:sz w:val="20"/>
          <w:lang w:eastAsia="en-US"/>
        </w:rPr>
        <w:t>00</w:t>
      </w:r>
      <w:r w:rsidR="00B00A80" w:rsidRPr="00B00A80">
        <w:rPr>
          <w:rFonts w:ascii="Arial" w:eastAsiaTheme="minorHAnsi" w:hAnsi="Arial" w:cs="Arial"/>
          <w:sz w:val="20"/>
          <w:lang w:eastAsia="en-US"/>
        </w:rPr>
        <w:t>105</w:t>
      </w:r>
    </w:p>
    <w:p w14:paraId="38164D11" w14:textId="77777777" w:rsidR="007E5825" w:rsidRPr="00046680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5BC1D7C9" w14:textId="77777777" w:rsidR="00666FB3" w:rsidRDefault="00666FB3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4A9755B9" w14:textId="4010B378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2AC07E2A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35B4D09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74B25D88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BB2B34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1C75736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0D85C6D" w14:textId="3346E094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 w:rsidRPr="00046680">
        <w:rPr>
          <w:rFonts w:ascii="Arial" w:eastAsia="Calibri" w:hAnsi="Arial" w:cs="Arial"/>
          <w:sz w:val="20"/>
          <w:lang w:eastAsia="en-US"/>
        </w:rPr>
        <w:t>Česká národní banka, Praha 1, Na Příkopě 28</w:t>
      </w:r>
    </w:p>
    <w:p w14:paraId="675EBC07" w14:textId="0C1239A9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00D66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00D66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>
        <w:rPr>
          <w:rFonts w:ascii="Arial" w:eastAsia="Calibri" w:hAnsi="Arial" w:cs="Arial"/>
          <w:sz w:val="20"/>
          <w:lang w:eastAsia="en-US"/>
        </w:rPr>
        <w:t xml:space="preserve">1110205001/0710, </w:t>
      </w:r>
      <w:r w:rsidR="0061737D" w:rsidRPr="00000D66">
        <w:rPr>
          <w:rFonts w:ascii="Arial" w:eastAsia="Calibri" w:hAnsi="Arial" w:cs="Arial"/>
          <w:sz w:val="20"/>
          <w:lang w:eastAsia="en-US"/>
        </w:rPr>
        <w:t>1110504001/0710</w:t>
      </w:r>
    </w:p>
    <w:p w14:paraId="3860511A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6214363F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3C720CFE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6F5EA34D" w14:textId="7FE9546C" w:rsidR="003A1ED1" w:rsidRPr="00606D78" w:rsidRDefault="0053252E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  <w:proofErr w:type="gramStart"/>
      <w:r w:rsidRPr="00606D78">
        <w:rPr>
          <w:rFonts w:ascii="Arial" w:hAnsi="Arial" w:cs="Arial"/>
          <w:b/>
          <w:color w:val="333333"/>
          <w:sz w:val="20"/>
          <w:shd w:val="clear" w:color="auto" w:fill="FFFFFF"/>
        </w:rPr>
        <w:t>ČD - Telematika</w:t>
      </w:r>
      <w:proofErr w:type="gramEnd"/>
      <w:r w:rsidR="003A1ED1" w:rsidRPr="00606D78">
        <w:rPr>
          <w:rFonts w:ascii="Arial" w:hAnsi="Arial" w:cs="Arial"/>
          <w:b/>
          <w:color w:val="333333"/>
          <w:sz w:val="20"/>
          <w:shd w:val="clear" w:color="auto" w:fill="FFFFFF"/>
        </w:rPr>
        <w:t xml:space="preserve"> a. s.</w:t>
      </w:r>
    </w:p>
    <w:p w14:paraId="25FBCBFF" w14:textId="076065E9" w:rsidR="00046680" w:rsidRPr="00A7354E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191ABF">
        <w:rPr>
          <w:rFonts w:ascii="Arial" w:eastAsia="Calibri" w:hAnsi="Arial" w:cs="Arial"/>
          <w:sz w:val="20"/>
          <w:lang w:eastAsia="en-US"/>
        </w:rPr>
        <w:t>se sídlem:</w:t>
      </w:r>
      <w:r w:rsidRPr="00191ABF">
        <w:rPr>
          <w:rFonts w:ascii="Arial" w:eastAsia="Calibri" w:hAnsi="Arial" w:cs="Arial"/>
          <w:sz w:val="20"/>
          <w:lang w:eastAsia="en-US"/>
        </w:rPr>
        <w:tab/>
      </w:r>
      <w:r w:rsidRPr="00191ABF">
        <w:rPr>
          <w:rFonts w:ascii="Arial" w:eastAsia="Calibri" w:hAnsi="Arial" w:cs="Arial"/>
          <w:sz w:val="20"/>
          <w:lang w:eastAsia="en-US"/>
        </w:rPr>
        <w:tab/>
      </w:r>
      <w:r w:rsidR="00606D78" w:rsidRPr="00191ABF">
        <w:rPr>
          <w:rFonts w:ascii="Arial" w:eastAsia="Calibri" w:hAnsi="Arial" w:cs="Arial"/>
          <w:sz w:val="20"/>
          <w:lang w:eastAsia="en-US"/>
        </w:rPr>
        <w:t xml:space="preserve">Praha 3, </w:t>
      </w:r>
      <w:r w:rsidR="00606D78" w:rsidRPr="00A7354E">
        <w:rPr>
          <w:rFonts w:ascii="Arial" w:eastAsia="Calibri" w:hAnsi="Arial" w:cs="Arial"/>
          <w:sz w:val="20"/>
          <w:lang w:eastAsia="en-US"/>
        </w:rPr>
        <w:t>Pernerova 2819/</w:t>
      </w:r>
      <w:proofErr w:type="gramStart"/>
      <w:r w:rsidR="00606D78" w:rsidRPr="00A7354E">
        <w:rPr>
          <w:rFonts w:ascii="Arial" w:eastAsia="Calibri" w:hAnsi="Arial" w:cs="Arial"/>
          <w:sz w:val="20"/>
          <w:lang w:eastAsia="en-US"/>
        </w:rPr>
        <w:t>2a</w:t>
      </w:r>
      <w:proofErr w:type="gramEnd"/>
      <w:r w:rsidR="00606D78" w:rsidRPr="00A7354E">
        <w:rPr>
          <w:rFonts w:ascii="Arial" w:eastAsia="Calibri" w:hAnsi="Arial" w:cs="Arial"/>
          <w:sz w:val="20"/>
          <w:lang w:eastAsia="en-US"/>
        </w:rPr>
        <w:t>, PSČ 13000</w:t>
      </w:r>
    </w:p>
    <w:p w14:paraId="47CDB972" w14:textId="13A53755" w:rsidR="00CA0381" w:rsidRPr="00A7354E" w:rsidRDefault="00046680" w:rsidP="00FE059C">
      <w:pPr>
        <w:spacing w:after="200" w:line="276" w:lineRule="auto"/>
        <w:contextualSpacing/>
        <w:jc w:val="left"/>
        <w:rPr>
          <w:rFonts w:ascii="Arial" w:hAnsi="Arial" w:cs="Arial"/>
          <w:sz w:val="20"/>
          <w:szCs w:val="22"/>
        </w:rPr>
      </w:pPr>
      <w:r w:rsidRPr="00A7354E">
        <w:rPr>
          <w:rFonts w:ascii="Arial" w:eastAsia="Calibri" w:hAnsi="Arial" w:cs="Arial"/>
          <w:sz w:val="20"/>
          <w:lang w:eastAsia="en-US"/>
        </w:rPr>
        <w:t>kterou zastupuje:</w:t>
      </w:r>
      <w:r w:rsidRPr="00A7354E">
        <w:rPr>
          <w:rFonts w:ascii="Arial" w:eastAsia="Calibri" w:hAnsi="Arial" w:cs="Arial"/>
          <w:sz w:val="20"/>
          <w:lang w:eastAsia="en-US"/>
        </w:rPr>
        <w:tab/>
      </w:r>
      <w:r w:rsidR="00A7354E" w:rsidRPr="00A7354E">
        <w:rPr>
          <w:rFonts w:ascii="Arial" w:eastAsia="Calibri" w:hAnsi="Arial" w:cs="Arial"/>
          <w:sz w:val="20"/>
          <w:lang w:eastAsia="en-US"/>
        </w:rPr>
        <w:t xml:space="preserve">Ing. </w:t>
      </w:r>
      <w:r w:rsidR="00666FB3" w:rsidRPr="00A7354E">
        <w:rPr>
          <w:rFonts w:ascii="Arial" w:eastAsia="Calibri" w:hAnsi="Arial" w:cs="Arial"/>
          <w:sz w:val="20"/>
          <w:lang w:eastAsia="en-US"/>
        </w:rPr>
        <w:t>Jan Hobza</w:t>
      </w:r>
      <w:r w:rsidR="00E329EA" w:rsidRPr="00A7354E">
        <w:rPr>
          <w:rFonts w:ascii="Arial" w:hAnsi="Arial" w:cs="Arial"/>
          <w:sz w:val="20"/>
          <w:szCs w:val="22"/>
        </w:rPr>
        <w:t xml:space="preserve">, </w:t>
      </w:r>
      <w:r w:rsidR="00666FB3" w:rsidRPr="00A7354E">
        <w:rPr>
          <w:rFonts w:ascii="Arial" w:hAnsi="Arial" w:cs="Arial"/>
          <w:sz w:val="20"/>
          <w:szCs w:val="22"/>
        </w:rPr>
        <w:t>předseda</w:t>
      </w:r>
      <w:r w:rsidR="00E329EA" w:rsidRPr="00A7354E">
        <w:rPr>
          <w:rFonts w:ascii="Arial" w:hAnsi="Arial" w:cs="Arial"/>
          <w:sz w:val="20"/>
          <w:szCs w:val="22"/>
        </w:rPr>
        <w:t xml:space="preserve"> představenstva</w:t>
      </w:r>
    </w:p>
    <w:p w14:paraId="444886B4" w14:textId="2DC796FB" w:rsidR="00A7354E" w:rsidRPr="00A7354E" w:rsidRDefault="00A7354E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A7354E">
        <w:rPr>
          <w:rFonts w:ascii="Arial" w:hAnsi="Arial" w:cs="Arial"/>
          <w:sz w:val="20"/>
          <w:szCs w:val="22"/>
        </w:rPr>
        <w:tab/>
      </w:r>
      <w:r w:rsidRPr="00A7354E">
        <w:rPr>
          <w:rFonts w:ascii="Arial" w:hAnsi="Arial" w:cs="Arial"/>
          <w:sz w:val="20"/>
          <w:szCs w:val="22"/>
        </w:rPr>
        <w:tab/>
      </w:r>
      <w:r w:rsidRPr="00A7354E">
        <w:rPr>
          <w:rFonts w:ascii="Arial" w:hAnsi="Arial" w:cs="Arial"/>
          <w:sz w:val="20"/>
          <w:szCs w:val="22"/>
        </w:rPr>
        <w:tab/>
        <w:t xml:space="preserve">Mgr. Tomáš </w:t>
      </w:r>
      <w:proofErr w:type="spellStart"/>
      <w:r w:rsidRPr="00A7354E">
        <w:rPr>
          <w:rFonts w:ascii="Arial" w:hAnsi="Arial" w:cs="Arial"/>
          <w:sz w:val="20"/>
          <w:szCs w:val="22"/>
        </w:rPr>
        <w:t>Businský</w:t>
      </w:r>
      <w:proofErr w:type="spellEnd"/>
      <w:r w:rsidRPr="00A7354E">
        <w:rPr>
          <w:rFonts w:ascii="Arial" w:hAnsi="Arial" w:cs="Arial"/>
          <w:sz w:val="20"/>
          <w:szCs w:val="22"/>
        </w:rPr>
        <w:t>, člen představenstva</w:t>
      </w:r>
    </w:p>
    <w:p w14:paraId="3A503304" w14:textId="3F8663DD" w:rsidR="007C3976" w:rsidRPr="00191ABF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A7354E">
        <w:rPr>
          <w:rFonts w:ascii="Arial" w:eastAsia="Calibri" w:hAnsi="Arial" w:cs="Arial"/>
          <w:sz w:val="20"/>
          <w:lang w:eastAsia="en-US"/>
        </w:rPr>
        <w:t xml:space="preserve">IČO: </w:t>
      </w:r>
      <w:r w:rsidRPr="00A7354E">
        <w:rPr>
          <w:rFonts w:ascii="Arial" w:eastAsia="Calibri" w:hAnsi="Arial" w:cs="Arial"/>
          <w:sz w:val="20"/>
          <w:lang w:eastAsia="en-US"/>
        </w:rPr>
        <w:tab/>
      </w:r>
      <w:r w:rsidRPr="00A7354E">
        <w:rPr>
          <w:rFonts w:ascii="Arial" w:eastAsia="Calibri" w:hAnsi="Arial" w:cs="Arial"/>
          <w:sz w:val="20"/>
          <w:lang w:eastAsia="en-US"/>
        </w:rPr>
        <w:tab/>
      </w:r>
      <w:r w:rsidRPr="00A7354E">
        <w:rPr>
          <w:rFonts w:ascii="Arial" w:eastAsia="Calibri" w:hAnsi="Arial" w:cs="Arial"/>
          <w:sz w:val="20"/>
          <w:lang w:eastAsia="en-US"/>
        </w:rPr>
        <w:tab/>
      </w:r>
      <w:r w:rsidR="00606D78" w:rsidRPr="00A7354E">
        <w:rPr>
          <w:rFonts w:ascii="Arial" w:eastAsia="Calibri" w:hAnsi="Arial" w:cs="Arial"/>
          <w:sz w:val="20"/>
          <w:lang w:eastAsia="en-US"/>
        </w:rPr>
        <w:t>61459445</w:t>
      </w:r>
    </w:p>
    <w:p w14:paraId="31C1E9CF" w14:textId="6D5EAF36" w:rsidR="007B2046" w:rsidRPr="00191ABF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191ABF">
        <w:rPr>
          <w:rFonts w:ascii="Arial" w:eastAsia="Calibri" w:hAnsi="Arial" w:cs="Arial"/>
          <w:sz w:val="20"/>
          <w:lang w:eastAsia="en-US"/>
        </w:rPr>
        <w:t xml:space="preserve">DIČ: </w:t>
      </w:r>
      <w:r w:rsidRPr="00191ABF">
        <w:rPr>
          <w:rFonts w:ascii="Arial" w:eastAsia="Calibri" w:hAnsi="Arial" w:cs="Arial"/>
          <w:sz w:val="20"/>
          <w:lang w:eastAsia="en-US"/>
        </w:rPr>
        <w:tab/>
      </w:r>
      <w:r w:rsidRPr="00191ABF">
        <w:rPr>
          <w:rFonts w:ascii="Arial" w:eastAsia="Calibri" w:hAnsi="Arial" w:cs="Arial"/>
          <w:sz w:val="20"/>
          <w:lang w:eastAsia="en-US"/>
        </w:rPr>
        <w:tab/>
      </w:r>
      <w:r w:rsidRPr="00191ABF">
        <w:rPr>
          <w:rFonts w:ascii="Arial" w:eastAsia="Calibri" w:hAnsi="Arial" w:cs="Arial"/>
          <w:sz w:val="20"/>
          <w:lang w:eastAsia="en-US"/>
        </w:rPr>
        <w:tab/>
      </w:r>
      <w:r w:rsidR="00BA25C8" w:rsidRPr="00191ABF">
        <w:rPr>
          <w:rFonts w:ascii="Arial" w:eastAsia="Calibri" w:hAnsi="Arial" w:cs="Arial"/>
          <w:sz w:val="20"/>
          <w:lang w:eastAsia="en-US"/>
        </w:rPr>
        <w:t>CZ</w:t>
      </w:r>
      <w:r w:rsidR="00191ABF" w:rsidRPr="00191ABF">
        <w:rPr>
          <w:rFonts w:ascii="Arial" w:eastAsia="Calibri" w:hAnsi="Arial" w:cs="Arial"/>
          <w:sz w:val="20"/>
          <w:lang w:eastAsia="en-US"/>
        </w:rPr>
        <w:t>61459445</w:t>
      </w:r>
    </w:p>
    <w:p w14:paraId="77337D5E" w14:textId="2D327238" w:rsidR="00046680" w:rsidRPr="00191ABF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191ABF">
        <w:rPr>
          <w:rFonts w:ascii="Arial" w:eastAsia="Calibri" w:hAnsi="Arial" w:cs="Arial"/>
          <w:sz w:val="20"/>
          <w:lang w:eastAsia="en-US"/>
        </w:rPr>
        <w:t>bankovní spojení:</w:t>
      </w:r>
      <w:r w:rsidRPr="00191ABF">
        <w:rPr>
          <w:rFonts w:ascii="Arial" w:eastAsia="Calibri" w:hAnsi="Arial" w:cs="Arial"/>
          <w:sz w:val="20"/>
          <w:lang w:eastAsia="en-US"/>
        </w:rPr>
        <w:tab/>
      </w:r>
      <w:r w:rsidR="00191ABF" w:rsidRPr="00191ABF">
        <w:rPr>
          <w:rFonts w:ascii="Arial" w:hAnsi="Arial" w:cs="Arial"/>
          <w:sz w:val="20"/>
          <w:shd w:val="clear" w:color="auto" w:fill="FFFFFF"/>
        </w:rPr>
        <w:t>Komerční banka, a.s., pobočka Praha 1</w:t>
      </w:r>
    </w:p>
    <w:p w14:paraId="0D5D70D1" w14:textId="28191086" w:rsidR="00046680" w:rsidRPr="00CB5026" w:rsidRDefault="00612C1E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191ABF">
        <w:rPr>
          <w:rFonts w:ascii="Arial" w:eastAsia="Calibri" w:hAnsi="Arial" w:cs="Arial"/>
          <w:sz w:val="20"/>
          <w:lang w:eastAsia="en-US"/>
        </w:rPr>
        <w:t>číslo účtu:</w:t>
      </w:r>
      <w:r w:rsidRPr="00191ABF">
        <w:rPr>
          <w:rFonts w:ascii="Arial" w:eastAsia="Calibri" w:hAnsi="Arial" w:cs="Arial"/>
          <w:sz w:val="20"/>
          <w:lang w:eastAsia="en-US"/>
        </w:rPr>
        <w:tab/>
      </w:r>
      <w:r w:rsidRPr="00191ABF">
        <w:rPr>
          <w:rFonts w:ascii="Arial" w:eastAsia="Calibri" w:hAnsi="Arial" w:cs="Arial"/>
          <w:sz w:val="20"/>
          <w:lang w:eastAsia="en-US"/>
        </w:rPr>
        <w:tab/>
      </w:r>
      <w:r w:rsidR="00191ABF" w:rsidRPr="00191ABF">
        <w:rPr>
          <w:rFonts w:ascii="Arial" w:hAnsi="Arial" w:cs="Arial"/>
          <w:sz w:val="20"/>
        </w:rPr>
        <w:t>19-</w:t>
      </w:r>
      <w:r w:rsidR="00191ABF" w:rsidRPr="00CB5026">
        <w:rPr>
          <w:rFonts w:ascii="Arial" w:hAnsi="Arial" w:cs="Arial"/>
          <w:sz w:val="20"/>
        </w:rPr>
        <w:t>5524200217/0100</w:t>
      </w:r>
    </w:p>
    <w:p w14:paraId="54BDCA88" w14:textId="73E9245A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highlight w:val="green"/>
          <w:lang w:eastAsia="en-US"/>
        </w:rPr>
      </w:pPr>
      <w:r w:rsidRPr="00CB5026">
        <w:rPr>
          <w:rFonts w:ascii="Arial" w:eastAsia="Calibri" w:hAnsi="Arial" w:cs="Arial"/>
          <w:sz w:val="20"/>
          <w:lang w:eastAsia="en-US"/>
        </w:rPr>
        <w:t xml:space="preserve">zapsaná v obchodním rejstříku vedeném </w:t>
      </w:r>
      <w:r w:rsidR="00CB5026" w:rsidRPr="00CB5026">
        <w:rPr>
          <w:rFonts w:ascii="Arial" w:eastAsia="Calibri" w:hAnsi="Arial" w:cs="Arial"/>
          <w:sz w:val="20"/>
          <w:lang w:eastAsia="en-US"/>
        </w:rPr>
        <w:t>Městským soudem v Praze</w:t>
      </w:r>
      <w:r w:rsidRPr="00CB5026">
        <w:rPr>
          <w:rFonts w:ascii="Arial" w:eastAsia="Calibri" w:hAnsi="Arial" w:cs="Arial"/>
          <w:sz w:val="20"/>
          <w:lang w:eastAsia="en-US"/>
        </w:rPr>
        <w:t xml:space="preserve">, oddíl </w:t>
      </w:r>
      <w:r w:rsidR="007B2046" w:rsidRPr="00CB5026">
        <w:rPr>
          <w:rFonts w:ascii="Arial" w:eastAsia="Calibri" w:hAnsi="Arial" w:cs="Arial"/>
          <w:sz w:val="20"/>
          <w:lang w:eastAsia="en-US"/>
        </w:rPr>
        <w:t>B</w:t>
      </w:r>
      <w:r w:rsidRPr="00CB5026">
        <w:rPr>
          <w:rFonts w:ascii="Arial" w:eastAsia="Calibri" w:hAnsi="Arial" w:cs="Arial"/>
          <w:sz w:val="20"/>
          <w:lang w:eastAsia="en-US"/>
        </w:rPr>
        <w:t xml:space="preserve">, vložka </w:t>
      </w:r>
      <w:r w:rsidR="00CB5026" w:rsidRPr="00CB5026">
        <w:rPr>
          <w:rFonts w:ascii="Arial" w:eastAsia="Calibri" w:hAnsi="Arial" w:cs="Arial"/>
          <w:sz w:val="20"/>
          <w:lang w:eastAsia="en-US"/>
        </w:rPr>
        <w:t>8938</w:t>
      </w:r>
      <w:r w:rsidRPr="0061737D">
        <w:rPr>
          <w:rFonts w:ascii="Arial" w:eastAsia="Calibri" w:hAnsi="Arial" w:cs="Arial"/>
          <w:sz w:val="20"/>
          <w:highlight w:val="green"/>
          <w:lang w:eastAsia="en-US"/>
        </w:rPr>
        <w:br/>
      </w:r>
    </w:p>
    <w:p w14:paraId="1D23DE49" w14:textId="7DA06CDF" w:rsidR="00C34C6D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Theme="minorHAnsi" w:hAnsi="Arial" w:cs="Arial"/>
          <w:sz w:val="20"/>
          <w:lang w:eastAsia="en-US"/>
        </w:rPr>
        <w:t>(dále jen „</w:t>
      </w:r>
      <w:r w:rsidR="00C3494F" w:rsidRPr="00DB400C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DB400C">
        <w:rPr>
          <w:rFonts w:ascii="Arial" w:eastAsiaTheme="minorHAnsi" w:hAnsi="Arial" w:cs="Arial"/>
          <w:sz w:val="20"/>
          <w:lang w:eastAsia="en-US"/>
        </w:rPr>
        <w:t>“</w:t>
      </w:r>
      <w:r w:rsidR="0045733E" w:rsidRPr="00DB400C">
        <w:rPr>
          <w:rFonts w:ascii="Arial" w:eastAsiaTheme="minorHAnsi" w:hAnsi="Arial" w:cs="Arial"/>
          <w:sz w:val="20"/>
          <w:lang w:eastAsia="en-US"/>
        </w:rPr>
        <w:t xml:space="preserve"> nebo „</w:t>
      </w:r>
      <w:proofErr w:type="gramStart"/>
      <w:r w:rsidR="0053252E">
        <w:rPr>
          <w:rFonts w:ascii="Arial" w:hAnsi="Arial" w:cs="Arial"/>
          <w:b/>
          <w:color w:val="333333"/>
          <w:sz w:val="20"/>
          <w:shd w:val="clear" w:color="auto" w:fill="FFFFFF"/>
        </w:rPr>
        <w:t>ČD - Telematika</w:t>
      </w:r>
      <w:proofErr w:type="gramEnd"/>
      <w:r w:rsidR="00624E47" w:rsidRPr="00624E47">
        <w:rPr>
          <w:rFonts w:ascii="Arial" w:hAnsi="Arial" w:cs="Arial"/>
          <w:b/>
          <w:color w:val="333333"/>
          <w:sz w:val="20"/>
          <w:shd w:val="clear" w:color="auto" w:fill="FFFFFF"/>
        </w:rPr>
        <w:t xml:space="preserve"> a. s.</w:t>
      </w:r>
      <w:r w:rsidR="0045733E" w:rsidRPr="00DB400C">
        <w:rPr>
          <w:rFonts w:ascii="Arial" w:eastAsiaTheme="minorHAnsi" w:hAnsi="Arial" w:cs="Arial"/>
          <w:sz w:val="20"/>
          <w:lang w:eastAsia="en-US"/>
        </w:rPr>
        <w:t>“</w:t>
      </w:r>
      <w:r w:rsidRPr="00DB400C">
        <w:rPr>
          <w:rFonts w:ascii="Arial" w:eastAsiaTheme="minorHAnsi" w:hAnsi="Arial" w:cs="Arial"/>
          <w:sz w:val="20"/>
          <w:lang w:eastAsia="en-US"/>
        </w:rPr>
        <w:t>)</w:t>
      </w:r>
    </w:p>
    <w:p w14:paraId="421EAAEA" w14:textId="36802804" w:rsid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1F12E6">
        <w:rPr>
          <w:rFonts w:ascii="Arial" w:eastAsiaTheme="minorHAnsi" w:hAnsi="Arial" w:cs="Arial"/>
          <w:sz w:val="20"/>
          <w:lang w:eastAsia="en-US"/>
        </w:rPr>
        <w:t xml:space="preserve">(společně </w:t>
      </w:r>
      <w:r w:rsidR="00536369" w:rsidRPr="001F12E6">
        <w:rPr>
          <w:rFonts w:ascii="Arial" w:eastAsiaTheme="minorHAnsi" w:hAnsi="Arial" w:cs="Arial"/>
          <w:sz w:val="20"/>
          <w:lang w:eastAsia="en-US"/>
        </w:rPr>
        <w:t xml:space="preserve">dále </w:t>
      </w:r>
      <w:r w:rsidRPr="001F12E6">
        <w:rPr>
          <w:rFonts w:ascii="Arial" w:eastAsiaTheme="minorHAnsi" w:hAnsi="Arial" w:cs="Arial"/>
          <w:sz w:val="20"/>
          <w:lang w:eastAsia="en-US"/>
        </w:rPr>
        <w:t>též</w:t>
      </w:r>
      <w:r w:rsidR="004E31DF" w:rsidRPr="001F12E6">
        <w:rPr>
          <w:rFonts w:ascii="Arial" w:eastAsiaTheme="minorHAnsi" w:hAnsi="Arial" w:cs="Arial"/>
          <w:sz w:val="20"/>
          <w:lang w:eastAsia="en-US"/>
        </w:rPr>
        <w:t xml:space="preserve"> jen </w:t>
      </w:r>
      <w:r w:rsidRPr="001F12E6">
        <w:rPr>
          <w:rFonts w:ascii="Arial" w:eastAsiaTheme="minorHAnsi" w:hAnsi="Arial" w:cs="Arial"/>
          <w:sz w:val="20"/>
          <w:lang w:eastAsia="en-US"/>
        </w:rPr>
        <w:t>„</w:t>
      </w:r>
      <w:r w:rsidR="00236283" w:rsidRPr="001F12E6">
        <w:rPr>
          <w:rFonts w:ascii="Arial" w:eastAsiaTheme="minorHAnsi" w:hAnsi="Arial" w:cs="Arial"/>
          <w:b/>
          <w:sz w:val="20"/>
          <w:lang w:eastAsia="en-US"/>
        </w:rPr>
        <w:t>S</w:t>
      </w:r>
      <w:r w:rsidRPr="001F12E6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1F12E6">
        <w:rPr>
          <w:rFonts w:ascii="Arial" w:eastAsiaTheme="minorHAnsi" w:hAnsi="Arial" w:cs="Arial"/>
          <w:sz w:val="20"/>
          <w:lang w:eastAsia="en-US"/>
        </w:rPr>
        <w:t>“)</w:t>
      </w:r>
    </w:p>
    <w:p w14:paraId="6D8BEDCD" w14:textId="2C2ED533" w:rsidR="00666FB3" w:rsidRDefault="00666FB3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78BF16D7" w14:textId="77777777" w:rsidR="00046680" w:rsidRPr="001F12E6" w:rsidRDefault="00046680" w:rsidP="00070003">
      <w:pPr>
        <w:spacing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1F12E6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7D1C1ADC" w14:textId="77777777" w:rsidR="00FE059C" w:rsidRPr="004060C6" w:rsidRDefault="00FE059C" w:rsidP="004060C6">
      <w:pPr>
        <w:suppressAutoHyphens/>
        <w:spacing w:after="200" w:line="276" w:lineRule="auto"/>
        <w:rPr>
          <w:rFonts w:ascii="Arial" w:hAnsi="Arial" w:cs="Arial"/>
          <w:bCs/>
          <w:sz w:val="20"/>
        </w:rPr>
      </w:pPr>
    </w:p>
    <w:p w14:paraId="3A3F542C" w14:textId="57EBB784" w:rsidR="0065136B" w:rsidRPr="001F12E6" w:rsidRDefault="00081F12" w:rsidP="0067733F">
      <w:pPr>
        <w:pStyle w:val="Odstavecseseznamem"/>
        <w:numPr>
          <w:ilvl w:val="0"/>
          <w:numId w:val="5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>
        <w:rPr>
          <w:rFonts w:ascii="Arial" w:eastAsiaTheme="minorHAnsi" w:hAnsi="Arial" w:cs="Arial"/>
          <w:sz w:val="20"/>
          <w:lang w:eastAsia="en-US"/>
        </w:rPr>
        <w:t xml:space="preserve">Výše uvedená </w:t>
      </w:r>
      <w:r w:rsidR="00046680" w:rsidRPr="001F12E6">
        <w:rPr>
          <w:rFonts w:ascii="Arial" w:eastAsiaTheme="minorHAnsi" w:hAnsi="Arial" w:cs="Arial"/>
          <w:sz w:val="20"/>
          <w:lang w:eastAsia="en-US"/>
        </w:rPr>
        <w:t>Smlouva byla uzavřena mezi</w:t>
      </w:r>
      <w:r w:rsidR="00125023" w:rsidRPr="001F12E6">
        <w:rPr>
          <w:rFonts w:ascii="Arial" w:hAnsi="Arial" w:cs="Arial"/>
          <w:sz w:val="20"/>
        </w:rPr>
        <w:t xml:space="preserve"> Všeobecnou zdravotní pojišťovnou České republiky a společností</w:t>
      </w:r>
      <w:r w:rsidR="00FE4EE6" w:rsidRPr="001F12E6">
        <w:rPr>
          <w:rFonts w:ascii="Arial" w:hAnsi="Arial" w:cs="Arial"/>
          <w:sz w:val="20"/>
        </w:rPr>
        <w:t xml:space="preserve"> ČD – Telematika a.s.</w:t>
      </w:r>
      <w:r w:rsidR="00125023" w:rsidRPr="001F12E6">
        <w:rPr>
          <w:rFonts w:ascii="Arial" w:hAnsi="Arial" w:cs="Arial"/>
          <w:sz w:val="20"/>
        </w:rPr>
        <w:t xml:space="preserve">, </w:t>
      </w:r>
      <w:r w:rsidR="00FE059C" w:rsidRPr="001F12E6">
        <w:rPr>
          <w:rFonts w:ascii="Arial" w:hAnsi="Arial" w:cs="Arial"/>
          <w:sz w:val="20"/>
        </w:rPr>
        <w:t xml:space="preserve">IČO: </w:t>
      </w:r>
      <w:r w:rsidR="00FE4EE6" w:rsidRPr="001F12E6">
        <w:rPr>
          <w:rFonts w:ascii="Arial" w:hAnsi="Arial" w:cs="Arial"/>
          <w:sz w:val="20"/>
        </w:rPr>
        <w:t>614 59 445</w:t>
      </w:r>
      <w:r w:rsidR="00FE059C" w:rsidRPr="001F12E6">
        <w:rPr>
          <w:rFonts w:ascii="Arial" w:hAnsi="Arial" w:cs="Arial"/>
          <w:sz w:val="20"/>
        </w:rPr>
        <w:t xml:space="preserve">, </w:t>
      </w:r>
      <w:r w:rsidR="00F75D19" w:rsidRPr="001F12E6">
        <w:rPr>
          <w:rFonts w:ascii="Arial" w:hAnsi="Arial" w:cs="Arial"/>
          <w:sz w:val="20"/>
        </w:rPr>
        <w:t xml:space="preserve">se sídlem: </w:t>
      </w:r>
      <w:r w:rsidR="00FE4EE6" w:rsidRPr="001F12E6">
        <w:rPr>
          <w:rFonts w:ascii="Arial" w:hAnsi="Arial" w:cs="Arial"/>
          <w:sz w:val="20"/>
        </w:rPr>
        <w:t>Praha 3, Pernerova 2819/</w:t>
      </w:r>
      <w:proofErr w:type="gramStart"/>
      <w:r w:rsidR="00FE4EE6" w:rsidRPr="001F12E6">
        <w:rPr>
          <w:rFonts w:ascii="Arial" w:hAnsi="Arial" w:cs="Arial"/>
          <w:sz w:val="20"/>
        </w:rPr>
        <w:t>2a</w:t>
      </w:r>
      <w:proofErr w:type="gramEnd"/>
      <w:r w:rsidR="00FE4EE6" w:rsidRPr="001F12E6">
        <w:rPr>
          <w:rFonts w:ascii="Arial" w:hAnsi="Arial" w:cs="Arial"/>
          <w:sz w:val="20"/>
        </w:rPr>
        <w:t>, PSČ 13000</w:t>
      </w:r>
      <w:r w:rsidR="00605EB8" w:rsidRPr="001F12E6">
        <w:rPr>
          <w:rFonts w:ascii="Arial" w:hAnsi="Arial" w:cs="Arial"/>
          <w:sz w:val="20"/>
        </w:rPr>
        <w:t xml:space="preserve"> </w:t>
      </w:r>
      <w:r w:rsidR="00046680" w:rsidRPr="001F12E6">
        <w:rPr>
          <w:rFonts w:ascii="Arial" w:eastAsiaTheme="minorHAnsi" w:hAnsi="Arial" w:cs="Arial"/>
          <w:sz w:val="20"/>
          <w:lang w:eastAsia="en-US"/>
        </w:rPr>
        <w:t xml:space="preserve">dne </w:t>
      </w:r>
      <w:r w:rsidR="006D562C" w:rsidRPr="001F12E6">
        <w:rPr>
          <w:rFonts w:ascii="Arial" w:eastAsiaTheme="minorHAnsi" w:hAnsi="Arial" w:cs="Arial"/>
          <w:sz w:val="20"/>
          <w:lang w:eastAsia="en-US"/>
        </w:rPr>
        <w:t>2</w:t>
      </w:r>
      <w:r w:rsidR="00FE4EE6" w:rsidRPr="001F12E6">
        <w:rPr>
          <w:rFonts w:ascii="Arial" w:eastAsiaTheme="minorHAnsi" w:hAnsi="Arial" w:cs="Arial"/>
          <w:sz w:val="20"/>
          <w:lang w:eastAsia="en-US"/>
        </w:rPr>
        <w:t>1</w:t>
      </w:r>
      <w:r w:rsidR="00315C1D" w:rsidRPr="001F12E6">
        <w:rPr>
          <w:rFonts w:ascii="Arial" w:eastAsiaTheme="minorHAnsi" w:hAnsi="Arial" w:cs="Arial"/>
          <w:sz w:val="20"/>
          <w:lang w:eastAsia="en-US"/>
        </w:rPr>
        <w:t>.</w:t>
      </w:r>
      <w:r w:rsidR="00330E97" w:rsidRPr="001F12E6">
        <w:rPr>
          <w:rFonts w:ascii="Arial" w:eastAsiaTheme="minorHAnsi" w:hAnsi="Arial" w:cs="Arial"/>
          <w:sz w:val="20"/>
          <w:lang w:eastAsia="en-US"/>
        </w:rPr>
        <w:t xml:space="preserve"> </w:t>
      </w:r>
      <w:r w:rsidR="00FE4EE6" w:rsidRPr="001F12E6">
        <w:rPr>
          <w:rFonts w:ascii="Arial" w:eastAsiaTheme="minorHAnsi" w:hAnsi="Arial" w:cs="Arial"/>
          <w:sz w:val="20"/>
          <w:lang w:eastAsia="en-US"/>
        </w:rPr>
        <w:t>07</w:t>
      </w:r>
      <w:r w:rsidR="00315C1D" w:rsidRPr="001F12E6">
        <w:rPr>
          <w:rFonts w:ascii="Arial" w:eastAsiaTheme="minorHAnsi" w:hAnsi="Arial" w:cs="Arial"/>
          <w:sz w:val="20"/>
          <w:lang w:eastAsia="en-US"/>
        </w:rPr>
        <w:t>.</w:t>
      </w:r>
      <w:r w:rsidR="00330E97" w:rsidRPr="001F12E6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1F12E6">
        <w:rPr>
          <w:rFonts w:ascii="Arial" w:eastAsiaTheme="minorHAnsi" w:hAnsi="Arial" w:cs="Arial"/>
          <w:sz w:val="20"/>
          <w:lang w:eastAsia="en-US"/>
        </w:rPr>
        <w:t>20</w:t>
      </w:r>
      <w:r w:rsidR="00E329EA" w:rsidRPr="001F12E6">
        <w:rPr>
          <w:rFonts w:ascii="Arial" w:eastAsiaTheme="minorHAnsi" w:hAnsi="Arial" w:cs="Arial"/>
          <w:sz w:val="20"/>
          <w:lang w:eastAsia="en-US"/>
        </w:rPr>
        <w:t>1</w:t>
      </w:r>
      <w:r w:rsidR="00FE4EE6" w:rsidRPr="001F12E6">
        <w:rPr>
          <w:rFonts w:ascii="Arial" w:eastAsiaTheme="minorHAnsi" w:hAnsi="Arial" w:cs="Arial"/>
          <w:sz w:val="20"/>
          <w:lang w:eastAsia="en-US"/>
        </w:rPr>
        <w:t>6</w:t>
      </w:r>
      <w:r w:rsidR="006D562C" w:rsidRPr="001F12E6">
        <w:rPr>
          <w:rFonts w:ascii="Arial" w:eastAsiaTheme="minorHAnsi" w:hAnsi="Arial" w:cs="Arial"/>
          <w:sz w:val="20"/>
          <w:lang w:eastAsia="en-US"/>
        </w:rPr>
        <w:t>,</w:t>
      </w:r>
      <w:r w:rsidR="005027BB" w:rsidRPr="001F12E6">
        <w:rPr>
          <w:rFonts w:ascii="Arial" w:eastAsiaTheme="minorHAnsi" w:hAnsi="Arial" w:cs="Arial"/>
          <w:sz w:val="20"/>
          <w:lang w:eastAsia="en-US"/>
        </w:rPr>
        <w:t xml:space="preserve"> účinnost</w:t>
      </w:r>
      <w:r w:rsidR="006F6C97" w:rsidRPr="001F12E6">
        <w:rPr>
          <w:rFonts w:ascii="Arial" w:eastAsiaTheme="minorHAnsi" w:hAnsi="Arial" w:cs="Arial"/>
          <w:sz w:val="20"/>
          <w:lang w:eastAsia="en-US"/>
        </w:rPr>
        <w:t xml:space="preserve">i nabyla </w:t>
      </w:r>
      <w:r w:rsidR="006D562C" w:rsidRPr="001F12E6">
        <w:rPr>
          <w:rFonts w:ascii="Arial" w:eastAsiaTheme="minorHAnsi" w:hAnsi="Arial" w:cs="Arial"/>
          <w:sz w:val="20"/>
          <w:lang w:eastAsia="en-US"/>
        </w:rPr>
        <w:t xml:space="preserve">dne </w:t>
      </w:r>
      <w:r w:rsidR="00D462DA" w:rsidRPr="001F12E6">
        <w:rPr>
          <w:rFonts w:ascii="Arial" w:eastAsiaTheme="minorHAnsi" w:hAnsi="Arial" w:cs="Arial"/>
          <w:sz w:val="20"/>
          <w:lang w:eastAsia="en-US"/>
        </w:rPr>
        <w:t>26</w:t>
      </w:r>
      <w:r w:rsidR="006D562C" w:rsidRPr="001F12E6">
        <w:rPr>
          <w:rFonts w:ascii="Arial" w:eastAsiaTheme="minorHAnsi" w:hAnsi="Arial" w:cs="Arial"/>
          <w:sz w:val="20"/>
          <w:lang w:eastAsia="en-US"/>
        </w:rPr>
        <w:t xml:space="preserve">. </w:t>
      </w:r>
      <w:r w:rsidR="00D462DA" w:rsidRPr="001F12E6">
        <w:rPr>
          <w:rFonts w:ascii="Arial" w:eastAsiaTheme="minorHAnsi" w:hAnsi="Arial" w:cs="Arial"/>
          <w:sz w:val="20"/>
          <w:lang w:eastAsia="en-US"/>
        </w:rPr>
        <w:t>07</w:t>
      </w:r>
      <w:r w:rsidR="006D562C" w:rsidRPr="001F12E6">
        <w:rPr>
          <w:rFonts w:ascii="Arial" w:eastAsiaTheme="minorHAnsi" w:hAnsi="Arial" w:cs="Arial"/>
          <w:sz w:val="20"/>
          <w:lang w:eastAsia="en-US"/>
        </w:rPr>
        <w:t xml:space="preserve">. 2016. </w:t>
      </w:r>
    </w:p>
    <w:p w14:paraId="2A8CE557" w14:textId="77777777" w:rsidR="00FE059C" w:rsidRPr="001F12E6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51D09A48" w14:textId="5C2D02F7" w:rsidR="002B397D" w:rsidRPr="001F12E6" w:rsidRDefault="002B397D" w:rsidP="0067733F">
      <w:pPr>
        <w:pStyle w:val="Odstavecseseznamem"/>
        <w:numPr>
          <w:ilvl w:val="0"/>
          <w:numId w:val="5"/>
        </w:numPr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  <w:r w:rsidRPr="001F12E6">
        <w:rPr>
          <w:rFonts w:ascii="Arial" w:eastAsiaTheme="minorHAnsi" w:hAnsi="Arial" w:cs="Arial"/>
          <w:sz w:val="20"/>
          <w:lang w:eastAsia="en-US"/>
        </w:rPr>
        <w:t>Smlouva byla uzavřena na základě výsledku otevřeného zadávacího řízení na veřejnou zakázku s</w:t>
      </w:r>
      <w:r w:rsidR="00906BDC" w:rsidRPr="001F12E6">
        <w:rPr>
          <w:rFonts w:ascii="Arial" w:eastAsiaTheme="minorHAnsi" w:hAnsi="Arial" w:cs="Arial"/>
          <w:sz w:val="20"/>
          <w:lang w:eastAsia="en-US"/>
        </w:rPr>
        <w:t> </w:t>
      </w:r>
      <w:r w:rsidRPr="001F12E6">
        <w:rPr>
          <w:rFonts w:ascii="Arial" w:eastAsiaTheme="minorHAnsi" w:hAnsi="Arial" w:cs="Arial"/>
          <w:sz w:val="20"/>
          <w:lang w:eastAsia="en-US"/>
        </w:rPr>
        <w:t xml:space="preserve">názvem </w:t>
      </w:r>
      <w:r w:rsidR="00906BDC" w:rsidRPr="001F12E6">
        <w:rPr>
          <w:rFonts w:ascii="Arial" w:eastAsiaTheme="minorHAnsi" w:hAnsi="Arial" w:cs="Arial"/>
          <w:sz w:val="20"/>
          <w:lang w:eastAsia="en-US"/>
        </w:rPr>
        <w:t>„</w:t>
      </w:r>
      <w:r w:rsidR="001F12E6" w:rsidRPr="001F12E6">
        <w:rPr>
          <w:rFonts w:ascii="Arial" w:eastAsiaTheme="minorHAnsi" w:hAnsi="Arial" w:cs="Arial"/>
          <w:sz w:val="20"/>
          <w:lang w:eastAsia="en-US"/>
        </w:rPr>
        <w:t>Vytvoření datového centra VZP ČR formou pronájmu II</w:t>
      </w:r>
      <w:r w:rsidRPr="001F12E6">
        <w:rPr>
          <w:rFonts w:ascii="Arial" w:eastAsiaTheme="minorHAnsi" w:hAnsi="Arial" w:cs="Arial"/>
          <w:sz w:val="20"/>
          <w:lang w:eastAsia="en-US"/>
        </w:rPr>
        <w:t>“, evidovan</w:t>
      </w:r>
      <w:r w:rsidR="0045733E" w:rsidRPr="001F12E6">
        <w:rPr>
          <w:rFonts w:ascii="Arial" w:eastAsiaTheme="minorHAnsi" w:hAnsi="Arial" w:cs="Arial"/>
          <w:sz w:val="20"/>
          <w:lang w:eastAsia="en-US"/>
        </w:rPr>
        <w:t>ou</w:t>
      </w:r>
      <w:r w:rsidRPr="001F12E6">
        <w:rPr>
          <w:rFonts w:ascii="Arial" w:eastAsiaTheme="minorHAnsi" w:hAnsi="Arial" w:cs="Arial"/>
          <w:sz w:val="20"/>
          <w:lang w:eastAsia="en-US"/>
        </w:rPr>
        <w:t xml:space="preserve"> VZP ČR pod číslem ID VZ: 1500</w:t>
      </w:r>
      <w:r w:rsidR="001F12E6" w:rsidRPr="001F12E6">
        <w:rPr>
          <w:rFonts w:ascii="Arial" w:eastAsiaTheme="minorHAnsi" w:hAnsi="Arial" w:cs="Arial"/>
          <w:sz w:val="20"/>
          <w:lang w:eastAsia="en-US"/>
        </w:rPr>
        <w:t>451</w:t>
      </w:r>
      <w:r w:rsidR="00C309AD" w:rsidRPr="001F12E6">
        <w:rPr>
          <w:rFonts w:ascii="Arial" w:eastAsiaTheme="minorHAnsi" w:hAnsi="Arial" w:cs="Arial"/>
          <w:sz w:val="20"/>
          <w:lang w:eastAsia="en-US"/>
        </w:rPr>
        <w:t>.</w:t>
      </w:r>
    </w:p>
    <w:p w14:paraId="4DFAAFA7" w14:textId="77777777" w:rsidR="0065136B" w:rsidRPr="001F12E6" w:rsidRDefault="0065136B" w:rsidP="00FE059C">
      <w:pPr>
        <w:pStyle w:val="Odstavecseseznamem"/>
        <w:suppressAutoHyphens/>
        <w:spacing w:after="200" w:line="276" w:lineRule="auto"/>
        <w:ind w:left="360"/>
        <w:jc w:val="center"/>
        <w:rPr>
          <w:rFonts w:ascii="Arial" w:hAnsi="Arial" w:cs="Arial"/>
          <w:bCs/>
          <w:sz w:val="20"/>
        </w:rPr>
      </w:pPr>
    </w:p>
    <w:p w14:paraId="253167D2" w14:textId="33D09A3D" w:rsidR="0065136B" w:rsidRPr="001F12E6" w:rsidRDefault="0065136B" w:rsidP="0067733F">
      <w:pPr>
        <w:pStyle w:val="Odstavecseseznamem"/>
        <w:numPr>
          <w:ilvl w:val="0"/>
          <w:numId w:val="5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1F12E6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AD7500" w:rsidRPr="001F12E6">
        <w:rPr>
          <w:rFonts w:ascii="Arial" w:eastAsiaTheme="minorHAnsi" w:hAnsi="Arial" w:cs="Arial"/>
          <w:sz w:val="20"/>
          <w:lang w:eastAsia="en-US"/>
        </w:rPr>
        <w:t>1</w:t>
      </w:r>
      <w:r w:rsidRPr="001F12E6">
        <w:rPr>
          <w:rFonts w:ascii="Arial" w:eastAsiaTheme="minorHAnsi" w:hAnsi="Arial" w:cs="Arial"/>
          <w:sz w:val="20"/>
          <w:lang w:eastAsia="en-US"/>
        </w:rPr>
        <w:t xml:space="preserve"> je uzavírán</w:t>
      </w:r>
      <w:r w:rsidR="00514BDB" w:rsidRPr="001F12E6">
        <w:rPr>
          <w:rFonts w:ascii="Arial" w:eastAsiaTheme="minorHAnsi" w:hAnsi="Arial" w:cs="Arial"/>
          <w:sz w:val="20"/>
          <w:lang w:eastAsia="en-US"/>
        </w:rPr>
        <w:t xml:space="preserve"> v souladu s ustanovením</w:t>
      </w:r>
      <w:r w:rsidR="00F75D19" w:rsidRPr="001F12E6">
        <w:rPr>
          <w:rFonts w:ascii="Arial" w:eastAsiaTheme="minorHAnsi" w:hAnsi="Arial" w:cs="Arial"/>
          <w:sz w:val="20"/>
          <w:lang w:eastAsia="en-US"/>
        </w:rPr>
        <w:t xml:space="preserve"> </w:t>
      </w:r>
      <w:r w:rsidR="005255CD">
        <w:rPr>
          <w:rFonts w:ascii="Arial" w:eastAsiaTheme="minorHAnsi" w:hAnsi="Arial" w:cs="Arial"/>
          <w:sz w:val="20"/>
          <w:lang w:eastAsia="en-US"/>
        </w:rPr>
        <w:t>č</w:t>
      </w:r>
      <w:r w:rsidR="00F75D19" w:rsidRPr="001F12E6">
        <w:rPr>
          <w:rFonts w:ascii="Arial" w:eastAsiaTheme="minorHAnsi" w:hAnsi="Arial" w:cs="Arial"/>
          <w:sz w:val="20"/>
          <w:lang w:eastAsia="en-US"/>
        </w:rPr>
        <w:t xml:space="preserve">lánku </w:t>
      </w:r>
      <w:r w:rsidR="00514BDB" w:rsidRPr="001F12E6">
        <w:rPr>
          <w:rFonts w:ascii="Arial" w:eastAsiaTheme="minorHAnsi" w:hAnsi="Arial" w:cs="Arial"/>
          <w:sz w:val="20"/>
          <w:lang w:eastAsia="en-US"/>
        </w:rPr>
        <w:t>X</w:t>
      </w:r>
      <w:r w:rsidR="006D562C" w:rsidRPr="001F12E6">
        <w:rPr>
          <w:rFonts w:ascii="Arial" w:eastAsiaTheme="minorHAnsi" w:hAnsi="Arial" w:cs="Arial"/>
          <w:sz w:val="20"/>
          <w:lang w:eastAsia="en-US"/>
        </w:rPr>
        <w:t>I</w:t>
      </w:r>
      <w:r w:rsidR="00B71395" w:rsidRPr="001F12E6">
        <w:rPr>
          <w:rFonts w:ascii="Arial" w:eastAsiaTheme="minorHAnsi" w:hAnsi="Arial" w:cs="Arial"/>
          <w:sz w:val="20"/>
          <w:lang w:eastAsia="en-US"/>
        </w:rPr>
        <w:t>I</w:t>
      </w:r>
      <w:r w:rsidRPr="001F12E6">
        <w:rPr>
          <w:rFonts w:ascii="Arial" w:eastAsiaTheme="minorHAnsi" w:hAnsi="Arial" w:cs="Arial"/>
          <w:sz w:val="20"/>
          <w:lang w:eastAsia="en-US"/>
        </w:rPr>
        <w:t xml:space="preserve">. </w:t>
      </w:r>
      <w:r w:rsidR="00506432" w:rsidRPr="001F12E6">
        <w:rPr>
          <w:rFonts w:ascii="Arial" w:eastAsiaTheme="minorHAnsi" w:hAnsi="Arial" w:cs="Arial"/>
          <w:sz w:val="20"/>
          <w:lang w:eastAsia="en-US"/>
        </w:rPr>
        <w:t xml:space="preserve">odst. </w:t>
      </w:r>
      <w:r w:rsidR="00B71395" w:rsidRPr="001F12E6">
        <w:rPr>
          <w:rFonts w:ascii="Arial" w:eastAsiaTheme="minorHAnsi" w:hAnsi="Arial" w:cs="Arial"/>
          <w:sz w:val="20"/>
          <w:lang w:eastAsia="en-US"/>
        </w:rPr>
        <w:t>1</w:t>
      </w:r>
      <w:r w:rsidR="00F014BB">
        <w:rPr>
          <w:rFonts w:ascii="Arial" w:eastAsiaTheme="minorHAnsi" w:hAnsi="Arial" w:cs="Arial"/>
          <w:sz w:val="20"/>
          <w:lang w:eastAsia="en-US"/>
        </w:rPr>
        <w:t>.</w:t>
      </w:r>
      <w:r w:rsidR="00506432" w:rsidRPr="001F12E6">
        <w:rPr>
          <w:rFonts w:ascii="Arial" w:eastAsiaTheme="minorHAnsi" w:hAnsi="Arial" w:cs="Arial"/>
          <w:sz w:val="20"/>
          <w:lang w:eastAsia="en-US"/>
        </w:rPr>
        <w:t xml:space="preserve"> </w:t>
      </w:r>
      <w:r w:rsidRPr="001F12E6">
        <w:rPr>
          <w:rFonts w:ascii="Arial" w:eastAsiaTheme="minorHAnsi" w:hAnsi="Arial" w:cs="Arial"/>
          <w:sz w:val="20"/>
          <w:lang w:eastAsia="en-US"/>
        </w:rPr>
        <w:t>Smlouvy</w:t>
      </w:r>
      <w:r w:rsidRPr="001F12E6">
        <w:rPr>
          <w:rFonts w:ascii="Arial" w:eastAsia="Calibri" w:hAnsi="Arial" w:cs="Arial"/>
          <w:sz w:val="20"/>
          <w:lang w:eastAsia="en-US"/>
        </w:rPr>
        <w:t>.</w:t>
      </w:r>
    </w:p>
    <w:p w14:paraId="7DC2F002" w14:textId="63F45471" w:rsidR="00776971" w:rsidRPr="00D23561" w:rsidRDefault="00776971" w:rsidP="00D23561">
      <w:pPr>
        <w:spacing w:after="120" w:line="276" w:lineRule="auto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D23561">
        <w:rPr>
          <w:rFonts w:ascii="Arial" w:eastAsia="Calibri" w:hAnsi="Arial" w:cs="Arial"/>
          <w:b/>
          <w:sz w:val="20"/>
          <w:lang w:eastAsia="en-US"/>
        </w:rPr>
        <w:lastRenderedPageBreak/>
        <w:t>Článek I.</w:t>
      </w:r>
    </w:p>
    <w:p w14:paraId="2CEB1DE9" w14:textId="5A211BF4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Změna Smlouvy</w:t>
      </w:r>
    </w:p>
    <w:p w14:paraId="433A34D6" w14:textId="2B09BD60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</w:p>
    <w:p w14:paraId="5C53DED5" w14:textId="64B9EAD4" w:rsidR="00B5325B" w:rsidRPr="00195766" w:rsidRDefault="00A40D67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195766">
        <w:rPr>
          <w:rFonts w:ascii="Arial" w:eastAsiaTheme="minorHAnsi" w:hAnsi="Arial" w:cs="Arial"/>
          <w:sz w:val="20"/>
          <w:lang w:eastAsia="en-US"/>
        </w:rPr>
        <w:t>U identifikačních údajů Objednatele v záhlaví Smlouvy se mění bankovní spojení a číslo účtu Objednatele (jak již uvedeno v záhlaví tohoto Dodatku č. 1)</w:t>
      </w:r>
      <w:r w:rsidR="00B5325B" w:rsidRPr="00195766">
        <w:rPr>
          <w:rFonts w:ascii="Arial" w:eastAsiaTheme="minorHAnsi" w:hAnsi="Arial" w:cs="Arial"/>
          <w:sz w:val="20"/>
          <w:lang w:eastAsia="en-US"/>
        </w:rPr>
        <w:t xml:space="preserve"> následujícím způsobem:</w:t>
      </w:r>
    </w:p>
    <w:p w14:paraId="70A7E198" w14:textId="4B72AA98" w:rsidR="005255CD" w:rsidRPr="00195766" w:rsidRDefault="00B5325B" w:rsidP="0067733F">
      <w:pPr>
        <w:pStyle w:val="Odstavecseseznamem"/>
        <w:numPr>
          <w:ilvl w:val="0"/>
          <w:numId w:val="7"/>
        </w:numPr>
        <w:spacing w:after="240" w:line="276" w:lineRule="auto"/>
        <w:ind w:left="1077" w:hanging="357"/>
        <w:rPr>
          <w:rFonts w:ascii="Arial" w:eastAsiaTheme="minorHAnsi" w:hAnsi="Arial" w:cs="Arial"/>
          <w:sz w:val="20"/>
          <w:lang w:eastAsia="en-US"/>
        </w:rPr>
      </w:pPr>
      <w:r w:rsidRPr="00195766">
        <w:rPr>
          <w:rFonts w:ascii="Arial" w:eastAsiaTheme="minorHAnsi" w:hAnsi="Arial" w:cs="Arial"/>
          <w:sz w:val="20"/>
          <w:lang w:eastAsia="en-US"/>
        </w:rPr>
        <w:t>bankovní spojení: MONETA Money Bank, a.s.</w:t>
      </w:r>
      <w:r w:rsidR="00861D25" w:rsidRPr="00195766">
        <w:rPr>
          <w:rFonts w:ascii="Arial" w:eastAsiaTheme="minorHAnsi" w:hAnsi="Arial" w:cs="Arial"/>
          <w:sz w:val="20"/>
          <w:lang w:eastAsia="en-US"/>
        </w:rPr>
        <w:t xml:space="preserve"> pobočka Praha 3, Vinohradská 138 se nahrazuje bankovním spojením: Česká národní banka, Praha 1, Na Příkopě 28</w:t>
      </w:r>
    </w:p>
    <w:p w14:paraId="04E06537" w14:textId="77777777" w:rsidR="00395DC1" w:rsidRPr="00195766" w:rsidRDefault="00395DC1" w:rsidP="00395DC1">
      <w:pPr>
        <w:pStyle w:val="Odstavecseseznamem"/>
        <w:spacing w:after="240" w:line="276" w:lineRule="auto"/>
        <w:ind w:left="1077"/>
        <w:rPr>
          <w:rFonts w:ascii="Arial" w:eastAsiaTheme="minorHAnsi" w:hAnsi="Arial" w:cs="Arial"/>
          <w:sz w:val="20"/>
          <w:lang w:eastAsia="en-US"/>
        </w:rPr>
      </w:pPr>
    </w:p>
    <w:p w14:paraId="6E95B2BC" w14:textId="1ABF64DB" w:rsidR="00395DC1" w:rsidRPr="00195766" w:rsidRDefault="00395DC1" w:rsidP="0067733F">
      <w:pPr>
        <w:pStyle w:val="Odstavecseseznamem"/>
        <w:numPr>
          <w:ilvl w:val="0"/>
          <w:numId w:val="7"/>
        </w:numPr>
        <w:spacing w:before="120" w:line="276" w:lineRule="auto"/>
        <w:ind w:left="1077" w:hanging="357"/>
        <w:rPr>
          <w:rFonts w:ascii="Arial" w:eastAsiaTheme="minorHAnsi" w:hAnsi="Arial" w:cs="Arial"/>
          <w:sz w:val="20"/>
          <w:lang w:eastAsia="en-US"/>
        </w:rPr>
      </w:pPr>
      <w:r w:rsidRPr="00195766">
        <w:rPr>
          <w:rFonts w:ascii="Arial" w:eastAsiaTheme="minorHAnsi" w:hAnsi="Arial" w:cs="Arial"/>
          <w:sz w:val="20"/>
          <w:lang w:eastAsia="en-US"/>
        </w:rPr>
        <w:t>Číslo</w:t>
      </w:r>
      <w:r w:rsidR="00865216" w:rsidRPr="00195766">
        <w:rPr>
          <w:rFonts w:ascii="Arial" w:eastAsiaTheme="minorHAnsi" w:hAnsi="Arial" w:cs="Arial"/>
          <w:sz w:val="20"/>
          <w:lang w:eastAsia="en-US"/>
        </w:rPr>
        <w:t xml:space="preserve"> </w:t>
      </w:r>
      <w:r w:rsidRPr="00195766">
        <w:rPr>
          <w:rFonts w:ascii="Arial" w:eastAsiaTheme="minorHAnsi" w:hAnsi="Arial" w:cs="Arial"/>
          <w:sz w:val="20"/>
          <w:lang w:eastAsia="en-US"/>
        </w:rPr>
        <w:t>účtu:</w:t>
      </w:r>
      <w:r w:rsidR="00865216" w:rsidRPr="00195766">
        <w:rPr>
          <w:rFonts w:ascii="Arial" w:eastAsiaTheme="minorHAnsi" w:hAnsi="Arial" w:cs="Arial"/>
          <w:sz w:val="20"/>
          <w:lang w:eastAsia="en-US"/>
        </w:rPr>
        <w:t xml:space="preserve"> </w:t>
      </w:r>
      <w:r w:rsidRPr="00195766">
        <w:rPr>
          <w:rFonts w:ascii="Arial" w:eastAsiaTheme="minorHAnsi" w:hAnsi="Arial" w:cs="Arial"/>
          <w:sz w:val="20"/>
          <w:lang w:eastAsia="en-US"/>
        </w:rPr>
        <w:t>30007-22225-884/0600</w:t>
      </w:r>
      <w:r w:rsidR="00971CAE" w:rsidRPr="00195766">
        <w:rPr>
          <w:rFonts w:ascii="Arial" w:eastAsiaTheme="minorHAnsi" w:hAnsi="Arial" w:cs="Arial"/>
          <w:sz w:val="20"/>
          <w:lang w:eastAsia="en-US"/>
        </w:rPr>
        <w:t xml:space="preserve"> se nahrazuje čísly účtů:</w:t>
      </w:r>
      <w:r w:rsidR="00865216" w:rsidRPr="00195766">
        <w:rPr>
          <w:rFonts w:ascii="Arial" w:eastAsiaTheme="minorHAnsi" w:hAnsi="Arial" w:cs="Arial"/>
          <w:sz w:val="20"/>
          <w:lang w:eastAsia="en-US"/>
        </w:rPr>
        <w:t xml:space="preserve"> </w:t>
      </w:r>
      <w:r w:rsidR="00971CAE" w:rsidRPr="00195766">
        <w:rPr>
          <w:rFonts w:ascii="Arial" w:eastAsia="Calibri" w:hAnsi="Arial" w:cs="Arial"/>
          <w:sz w:val="20"/>
          <w:lang w:eastAsia="en-US"/>
        </w:rPr>
        <w:t>1110205001/0710, 1110504001/0710</w:t>
      </w:r>
    </w:p>
    <w:p w14:paraId="23A40A16" w14:textId="77777777" w:rsidR="00971CAE" w:rsidRPr="00195766" w:rsidRDefault="00971CAE" w:rsidP="00971CAE">
      <w:pPr>
        <w:pStyle w:val="Odstavecseseznamem"/>
        <w:rPr>
          <w:rFonts w:ascii="Arial" w:eastAsiaTheme="minorHAnsi" w:hAnsi="Arial" w:cs="Arial"/>
          <w:sz w:val="20"/>
          <w:lang w:eastAsia="en-US"/>
        </w:rPr>
      </w:pPr>
    </w:p>
    <w:p w14:paraId="660D3480" w14:textId="77777777" w:rsidR="00971CAE" w:rsidRPr="00195766" w:rsidRDefault="00971CAE" w:rsidP="00971CAE">
      <w:pPr>
        <w:pStyle w:val="Odstavecseseznamem"/>
        <w:spacing w:before="120" w:line="276" w:lineRule="auto"/>
        <w:ind w:left="1077"/>
        <w:rPr>
          <w:rFonts w:ascii="Arial" w:eastAsiaTheme="minorHAnsi" w:hAnsi="Arial" w:cs="Arial"/>
          <w:sz w:val="20"/>
          <w:lang w:eastAsia="en-US"/>
        </w:rPr>
      </w:pPr>
    </w:p>
    <w:p w14:paraId="7F9219EA" w14:textId="6257323C" w:rsidR="0053597E" w:rsidRPr="00195766" w:rsidRDefault="0053597E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195766">
        <w:rPr>
          <w:rFonts w:ascii="Arial" w:eastAsiaTheme="minorHAnsi" w:hAnsi="Arial" w:cs="Arial"/>
          <w:sz w:val="20"/>
          <w:lang w:eastAsia="en-US"/>
        </w:rPr>
        <w:t>Článek</w:t>
      </w:r>
      <w:r w:rsidR="005255CD" w:rsidRPr="00195766">
        <w:rPr>
          <w:rFonts w:ascii="Arial" w:eastAsiaTheme="minorHAnsi" w:hAnsi="Arial" w:cs="Arial"/>
          <w:sz w:val="20"/>
          <w:lang w:eastAsia="en-US"/>
        </w:rPr>
        <w:t xml:space="preserve"> V. Fakturační a platební podmínky</w:t>
      </w:r>
      <w:r w:rsidR="00A77D34" w:rsidRPr="00195766">
        <w:rPr>
          <w:rFonts w:ascii="Arial" w:eastAsiaTheme="minorHAnsi" w:hAnsi="Arial" w:cs="Arial"/>
          <w:sz w:val="20"/>
          <w:lang w:eastAsia="en-US"/>
        </w:rPr>
        <w:t xml:space="preserve"> se </w:t>
      </w:r>
      <w:r w:rsidRPr="00195766">
        <w:rPr>
          <w:rFonts w:ascii="Arial" w:eastAsiaTheme="minorHAnsi" w:hAnsi="Arial" w:cs="Arial"/>
          <w:sz w:val="20"/>
          <w:lang w:eastAsia="en-US"/>
        </w:rPr>
        <w:t xml:space="preserve">mění </w:t>
      </w:r>
      <w:r w:rsidR="00D26482" w:rsidRPr="00195766">
        <w:rPr>
          <w:rFonts w:ascii="Arial" w:eastAsiaTheme="minorHAnsi" w:hAnsi="Arial" w:cs="Arial"/>
          <w:sz w:val="20"/>
          <w:lang w:eastAsia="en-US"/>
        </w:rPr>
        <w:t>následujícím způsobem</w:t>
      </w:r>
      <w:r w:rsidRPr="00195766">
        <w:rPr>
          <w:rFonts w:ascii="Arial" w:eastAsiaTheme="minorHAnsi" w:hAnsi="Arial" w:cs="Arial"/>
          <w:sz w:val="20"/>
          <w:lang w:eastAsia="en-US"/>
        </w:rPr>
        <w:t>:</w:t>
      </w:r>
    </w:p>
    <w:p w14:paraId="6760BE8D" w14:textId="08EC2317" w:rsidR="0037399B" w:rsidRPr="00195766" w:rsidRDefault="0053597E" w:rsidP="00750C9A">
      <w:pPr>
        <w:spacing w:after="200" w:line="276" w:lineRule="auto"/>
        <w:ind w:firstLine="357"/>
        <w:rPr>
          <w:rFonts w:ascii="Arial" w:eastAsiaTheme="minorHAnsi" w:hAnsi="Arial" w:cs="Arial"/>
          <w:sz w:val="20"/>
          <w:lang w:eastAsia="en-US"/>
        </w:rPr>
      </w:pPr>
      <w:r w:rsidRPr="00195766">
        <w:rPr>
          <w:rFonts w:ascii="Arial" w:eastAsiaTheme="minorHAnsi" w:hAnsi="Arial" w:cs="Arial"/>
          <w:sz w:val="20"/>
          <w:lang w:eastAsia="en-US"/>
        </w:rPr>
        <w:t>a)</w:t>
      </w:r>
      <w:r w:rsidRPr="00195766">
        <w:rPr>
          <w:rFonts w:ascii="Arial" w:eastAsiaTheme="minorHAnsi" w:hAnsi="Arial" w:cs="Arial"/>
          <w:sz w:val="20"/>
          <w:lang w:eastAsia="en-US"/>
        </w:rPr>
        <w:tab/>
      </w:r>
      <w:r w:rsidR="00750EB6" w:rsidRPr="00195766">
        <w:rPr>
          <w:rFonts w:ascii="Arial" w:eastAsiaTheme="minorHAnsi" w:hAnsi="Arial" w:cs="Arial"/>
          <w:sz w:val="20"/>
          <w:lang w:eastAsia="en-US"/>
        </w:rPr>
        <w:t>znění odstavce</w:t>
      </w:r>
      <w:r w:rsidRPr="00195766">
        <w:rPr>
          <w:rFonts w:ascii="Arial" w:eastAsiaTheme="minorHAnsi" w:hAnsi="Arial" w:cs="Arial"/>
          <w:sz w:val="20"/>
          <w:lang w:eastAsia="en-US"/>
        </w:rPr>
        <w:t xml:space="preserve"> 2. se ruší</w:t>
      </w:r>
      <w:r w:rsidR="00A77D34" w:rsidRPr="00195766">
        <w:rPr>
          <w:rFonts w:ascii="Arial" w:eastAsiaTheme="minorHAnsi" w:hAnsi="Arial" w:cs="Arial"/>
          <w:sz w:val="20"/>
          <w:lang w:eastAsia="en-US"/>
        </w:rPr>
        <w:t xml:space="preserve"> a nahrazuje se novým zněním takto:</w:t>
      </w:r>
    </w:p>
    <w:p w14:paraId="20339482" w14:textId="276DE6F0" w:rsidR="00A22772" w:rsidRPr="00195766" w:rsidRDefault="005048AE" w:rsidP="00757828">
      <w:pPr>
        <w:spacing w:after="200" w:line="276" w:lineRule="auto"/>
        <w:ind w:left="709" w:hanging="349"/>
        <w:rPr>
          <w:rFonts w:ascii="Arial" w:eastAsiaTheme="minorHAnsi" w:hAnsi="Arial" w:cs="Arial"/>
          <w:sz w:val="20"/>
          <w:lang w:eastAsia="en-US"/>
        </w:rPr>
      </w:pPr>
      <w:r w:rsidRPr="00195766">
        <w:rPr>
          <w:rFonts w:ascii="Arial" w:eastAsiaTheme="minorHAnsi" w:hAnsi="Arial" w:cs="Arial"/>
          <w:sz w:val="20"/>
        </w:rPr>
        <w:t xml:space="preserve">„2. </w:t>
      </w:r>
      <w:r w:rsidR="00B05FF1" w:rsidRPr="00195766">
        <w:rPr>
          <w:rFonts w:ascii="Arial" w:eastAsiaTheme="minorHAnsi" w:hAnsi="Arial" w:cs="Arial"/>
          <w:sz w:val="20"/>
        </w:rPr>
        <w:t>Smluvní strany se dohodly, že úhrada Měsíčního paušálu</w:t>
      </w:r>
      <w:r w:rsidR="007B1839" w:rsidRPr="00195766">
        <w:rPr>
          <w:rFonts w:ascii="Arial" w:eastAsiaTheme="minorHAnsi" w:hAnsi="Arial" w:cs="Arial"/>
          <w:sz w:val="20"/>
        </w:rPr>
        <w:t xml:space="preserve"> </w:t>
      </w:r>
      <w:r w:rsidR="00D854E3" w:rsidRPr="00195766">
        <w:rPr>
          <w:rFonts w:ascii="Arial" w:eastAsiaTheme="minorHAnsi" w:hAnsi="Arial" w:cs="Arial"/>
          <w:sz w:val="20"/>
        </w:rPr>
        <w:t xml:space="preserve">(viz </w:t>
      </w:r>
      <w:r w:rsidR="007B1839" w:rsidRPr="00195766">
        <w:rPr>
          <w:rFonts w:ascii="Arial" w:eastAsiaTheme="minorHAnsi" w:hAnsi="Arial" w:cs="Arial"/>
          <w:sz w:val="20"/>
        </w:rPr>
        <w:t>čl. IV. odst. 2. písm. a)</w:t>
      </w:r>
      <w:r w:rsidR="00B05FF1" w:rsidRPr="00195766">
        <w:rPr>
          <w:rFonts w:ascii="Arial" w:eastAsiaTheme="minorHAnsi" w:hAnsi="Arial" w:cs="Arial"/>
          <w:sz w:val="20"/>
        </w:rPr>
        <w:t xml:space="preserve"> </w:t>
      </w:r>
      <w:r w:rsidR="00C03A98" w:rsidRPr="00195766">
        <w:rPr>
          <w:rFonts w:ascii="Arial" w:eastAsiaTheme="minorHAnsi" w:hAnsi="Arial" w:cs="Arial"/>
          <w:sz w:val="20"/>
        </w:rPr>
        <w:t xml:space="preserve">Smlouvy </w:t>
      </w:r>
      <w:r w:rsidR="00B05FF1" w:rsidRPr="00195766">
        <w:rPr>
          <w:rFonts w:ascii="Arial" w:eastAsiaTheme="minorHAnsi" w:hAnsi="Arial" w:cs="Arial"/>
          <w:sz w:val="20"/>
        </w:rPr>
        <w:t>a popř. i Měsíčního paušálu II. a Měsíčního paušálu III.</w:t>
      </w:r>
      <w:r w:rsidR="002F788C" w:rsidRPr="00195766">
        <w:rPr>
          <w:rFonts w:ascii="Arial" w:eastAsiaTheme="minorHAnsi" w:hAnsi="Arial" w:cs="Arial"/>
          <w:sz w:val="20"/>
        </w:rPr>
        <w:t xml:space="preserve"> (viz čl. IV. odst. </w:t>
      </w:r>
      <w:r w:rsidR="007B1839" w:rsidRPr="00195766">
        <w:rPr>
          <w:rFonts w:ascii="Arial" w:eastAsiaTheme="minorHAnsi" w:hAnsi="Arial" w:cs="Arial"/>
          <w:sz w:val="20"/>
        </w:rPr>
        <w:t>8.</w:t>
      </w:r>
      <w:r w:rsidR="00C03A98" w:rsidRPr="00195766">
        <w:rPr>
          <w:rFonts w:ascii="Arial" w:eastAsiaTheme="minorHAnsi" w:hAnsi="Arial" w:cs="Arial"/>
          <w:sz w:val="20"/>
        </w:rPr>
        <w:t xml:space="preserve"> Smlouvy</w:t>
      </w:r>
      <w:r w:rsidR="002F788C" w:rsidRPr="00195766">
        <w:rPr>
          <w:rFonts w:ascii="Arial" w:eastAsiaTheme="minorHAnsi" w:hAnsi="Arial" w:cs="Arial"/>
          <w:sz w:val="20"/>
        </w:rPr>
        <w:t>)</w:t>
      </w:r>
      <w:r w:rsidR="0037399B" w:rsidRPr="00195766">
        <w:rPr>
          <w:rFonts w:ascii="Arial" w:eastAsiaTheme="minorHAnsi" w:hAnsi="Arial" w:cs="Arial"/>
          <w:b/>
          <w:bCs/>
          <w:sz w:val="20"/>
        </w:rPr>
        <w:t xml:space="preserve"> </w:t>
      </w:r>
      <w:r w:rsidR="004E4A0D" w:rsidRPr="00195766">
        <w:rPr>
          <w:rFonts w:ascii="Arial" w:eastAsiaTheme="minorHAnsi" w:hAnsi="Arial" w:cs="Arial"/>
          <w:sz w:val="20"/>
        </w:rPr>
        <w:t>bude prováděna na základě daňových dokladů – faktur (dále jen „faktury“)</w:t>
      </w:r>
      <w:r w:rsidR="00CB65C2" w:rsidRPr="00195766">
        <w:rPr>
          <w:rFonts w:ascii="Arial" w:eastAsiaTheme="minorHAnsi" w:hAnsi="Arial" w:cs="Arial"/>
          <w:sz w:val="20"/>
        </w:rPr>
        <w:t xml:space="preserve">, vystavených vždy nejpozději do 15. dne kalendářního měsíce, který </w:t>
      </w:r>
      <w:r w:rsidR="00CB65C2" w:rsidRPr="00195766">
        <w:rPr>
          <w:rFonts w:ascii="Arial" w:hAnsi="Arial" w:cs="Arial"/>
          <w:sz w:val="20"/>
        </w:rPr>
        <w:t>bezprostředně</w:t>
      </w:r>
      <w:r w:rsidR="00CB65C2" w:rsidRPr="00195766">
        <w:rPr>
          <w:rFonts w:ascii="Arial" w:eastAsiaTheme="minorHAnsi" w:hAnsi="Arial" w:cs="Arial"/>
          <w:sz w:val="20"/>
        </w:rPr>
        <w:t xml:space="preserve"> následuje po kalendářním měsíci</w:t>
      </w:r>
      <w:r w:rsidR="006D10F9" w:rsidRPr="00195766">
        <w:rPr>
          <w:rFonts w:ascii="Arial" w:eastAsiaTheme="minorHAnsi" w:hAnsi="Arial" w:cs="Arial"/>
          <w:sz w:val="20"/>
        </w:rPr>
        <w:t>, za který Poskytovatel fakturuje cenu tohoto plnění. Faktura za Měsíční cenu za elektrickou energii (viz čl. IV. odst.</w:t>
      </w:r>
      <w:r w:rsidR="005E0E82" w:rsidRPr="00195766">
        <w:rPr>
          <w:rFonts w:ascii="Arial" w:eastAsiaTheme="minorHAnsi" w:hAnsi="Arial" w:cs="Arial"/>
          <w:sz w:val="20"/>
        </w:rPr>
        <w:t xml:space="preserve"> 2. písm. b) Smlouvy) bude vystavena Poskytovatelem po zjištění skutečné spotřeby elektrické energie za příslušný měsíc, nejp</w:t>
      </w:r>
      <w:r w:rsidR="00BC4157" w:rsidRPr="00195766">
        <w:rPr>
          <w:rFonts w:ascii="Arial" w:eastAsiaTheme="minorHAnsi" w:hAnsi="Arial" w:cs="Arial"/>
          <w:sz w:val="20"/>
        </w:rPr>
        <w:t>ozději</w:t>
      </w:r>
      <w:r w:rsidR="005E0E82" w:rsidRPr="00195766">
        <w:rPr>
          <w:rFonts w:ascii="Arial" w:eastAsiaTheme="minorHAnsi" w:hAnsi="Arial" w:cs="Arial"/>
          <w:sz w:val="20"/>
        </w:rPr>
        <w:t xml:space="preserve"> </w:t>
      </w:r>
      <w:r w:rsidR="00E537E5" w:rsidRPr="00195766">
        <w:rPr>
          <w:rFonts w:ascii="Arial" w:eastAsiaTheme="minorHAnsi" w:hAnsi="Arial" w:cs="Arial"/>
          <w:sz w:val="20"/>
        </w:rPr>
        <w:t>v</w:t>
      </w:r>
      <w:r w:rsidR="005E0E82" w:rsidRPr="00195766">
        <w:rPr>
          <w:rFonts w:ascii="Arial" w:eastAsiaTheme="minorHAnsi" w:hAnsi="Arial" w:cs="Arial"/>
          <w:sz w:val="20"/>
        </w:rPr>
        <w:t>šak vždy do konce 3.</w:t>
      </w:r>
      <w:r w:rsidR="00E537E5" w:rsidRPr="00195766">
        <w:rPr>
          <w:rFonts w:ascii="Arial" w:eastAsiaTheme="minorHAnsi" w:hAnsi="Arial" w:cs="Arial"/>
          <w:sz w:val="20"/>
        </w:rPr>
        <w:t xml:space="preserve"> kalendářního měsíce po</w:t>
      </w:r>
      <w:r w:rsidR="00750C9A" w:rsidRPr="00195766">
        <w:rPr>
          <w:rFonts w:ascii="Arial" w:eastAsiaTheme="minorHAnsi" w:hAnsi="Arial" w:cs="Arial"/>
          <w:sz w:val="20"/>
        </w:rPr>
        <w:t xml:space="preserve"> kalendářním</w:t>
      </w:r>
      <w:r w:rsidR="00E537E5" w:rsidRPr="00195766">
        <w:rPr>
          <w:rFonts w:ascii="Arial" w:eastAsiaTheme="minorHAnsi" w:hAnsi="Arial" w:cs="Arial"/>
          <w:sz w:val="20"/>
        </w:rPr>
        <w:t xml:space="preserve"> měsíci, za který je Měsíční cena za elektrickou energii fakturována.“</w:t>
      </w:r>
    </w:p>
    <w:p w14:paraId="0A2C74C1" w14:textId="29FDBBEA" w:rsidR="00D26482" w:rsidRPr="00195766" w:rsidRDefault="00750C9A" w:rsidP="00AB4A40">
      <w:pPr>
        <w:pStyle w:val="Odrazkac"/>
        <w:numPr>
          <w:ilvl w:val="0"/>
          <w:numId w:val="0"/>
        </w:numPr>
        <w:spacing w:before="120"/>
        <w:ind w:firstLine="284"/>
        <w:rPr>
          <w:rFonts w:ascii="Arial" w:eastAsiaTheme="minorHAnsi" w:hAnsi="Arial" w:cs="Arial"/>
          <w:sz w:val="20"/>
        </w:rPr>
      </w:pPr>
      <w:r w:rsidRPr="00195766">
        <w:rPr>
          <w:rFonts w:ascii="Arial" w:eastAsiaTheme="minorHAnsi" w:hAnsi="Arial" w:cs="Arial"/>
          <w:sz w:val="20"/>
        </w:rPr>
        <w:t>b)</w:t>
      </w:r>
      <w:r w:rsidRPr="00195766">
        <w:rPr>
          <w:rFonts w:ascii="Arial" w:eastAsiaTheme="minorHAnsi" w:hAnsi="Arial" w:cs="Arial"/>
          <w:sz w:val="20"/>
        </w:rPr>
        <w:tab/>
      </w:r>
      <w:r w:rsidR="00D26482" w:rsidRPr="00195766">
        <w:rPr>
          <w:rFonts w:ascii="Arial" w:eastAsiaTheme="minorHAnsi" w:hAnsi="Arial" w:cs="Arial"/>
          <w:sz w:val="20"/>
        </w:rPr>
        <w:t>znění odstavce 4. se ruší a nahrazuje se novým zněním takto:</w:t>
      </w:r>
    </w:p>
    <w:p w14:paraId="3BF4D0E5" w14:textId="27F63DC5" w:rsidR="00A910E4" w:rsidRPr="00195766" w:rsidRDefault="00544055" w:rsidP="00195766">
      <w:pPr>
        <w:spacing w:before="200" w:after="200" w:line="276" w:lineRule="auto"/>
        <w:ind w:left="709" w:hanging="352"/>
        <w:rPr>
          <w:rFonts w:ascii="Arial" w:eastAsiaTheme="minorHAnsi" w:hAnsi="Arial" w:cs="Arial"/>
          <w:sz w:val="20"/>
        </w:rPr>
      </w:pPr>
      <w:r w:rsidRPr="00195766">
        <w:rPr>
          <w:rFonts w:ascii="Arial" w:eastAsiaTheme="minorHAnsi" w:hAnsi="Arial" w:cs="Arial"/>
          <w:sz w:val="20"/>
        </w:rPr>
        <w:t xml:space="preserve">„4. </w:t>
      </w:r>
      <w:r w:rsidR="00D212B3" w:rsidRPr="00195766">
        <w:rPr>
          <w:rFonts w:ascii="Arial" w:eastAsiaTheme="minorHAnsi" w:hAnsi="Arial" w:cs="Arial"/>
          <w:sz w:val="20"/>
        </w:rPr>
        <w:t>Za den uskutečnění zdanitelného plnění bude v případě plnění</w:t>
      </w:r>
      <w:r w:rsidR="00CD018F" w:rsidRPr="00195766">
        <w:rPr>
          <w:rFonts w:ascii="Arial" w:eastAsiaTheme="minorHAnsi" w:hAnsi="Arial" w:cs="Arial"/>
          <w:sz w:val="20"/>
        </w:rPr>
        <w:t xml:space="preserve"> dle</w:t>
      </w:r>
      <w:r w:rsidRPr="00195766">
        <w:rPr>
          <w:rFonts w:ascii="Arial" w:eastAsiaTheme="minorHAnsi" w:hAnsi="Arial" w:cs="Arial"/>
          <w:sz w:val="20"/>
        </w:rPr>
        <w:t xml:space="preserve"> čl. II. odst. 1. Smlouvy</w:t>
      </w:r>
      <w:r w:rsidR="007149D7" w:rsidRPr="00195766">
        <w:rPr>
          <w:rFonts w:ascii="Arial" w:eastAsiaTheme="minorHAnsi" w:hAnsi="Arial" w:cs="Arial"/>
          <w:sz w:val="20"/>
        </w:rPr>
        <w:t xml:space="preserve"> považován poslední den příslušného kalendářního měsíce, v případě </w:t>
      </w:r>
      <w:r w:rsidR="00E43EAA" w:rsidRPr="00195766">
        <w:rPr>
          <w:rFonts w:ascii="Arial" w:eastAsiaTheme="minorHAnsi" w:hAnsi="Arial" w:cs="Arial"/>
          <w:sz w:val="20"/>
        </w:rPr>
        <w:t>služby poskytování elektrické energie</w:t>
      </w:r>
      <w:r w:rsidR="00A910E4" w:rsidRPr="00195766">
        <w:rPr>
          <w:rFonts w:ascii="Arial" w:eastAsiaTheme="minorHAnsi" w:hAnsi="Arial" w:cs="Arial"/>
          <w:sz w:val="20"/>
        </w:rPr>
        <w:t xml:space="preserve"> bude za den uskutečnění zdanitelného plnění považován vždy den vystavení příslušné faktury“.</w:t>
      </w:r>
    </w:p>
    <w:p w14:paraId="793B6575" w14:textId="6B3F584D" w:rsidR="00195766" w:rsidRPr="00195766" w:rsidRDefault="00B83FCE" w:rsidP="00195766">
      <w:pPr>
        <w:pStyle w:val="Odrazkac"/>
        <w:numPr>
          <w:ilvl w:val="0"/>
          <w:numId w:val="0"/>
        </w:numPr>
        <w:spacing w:before="120" w:after="200"/>
        <w:ind w:firstLine="284"/>
        <w:rPr>
          <w:rFonts w:ascii="Arial" w:eastAsiaTheme="minorHAnsi" w:hAnsi="Arial" w:cs="Arial"/>
          <w:sz w:val="20"/>
        </w:rPr>
      </w:pPr>
      <w:r w:rsidRPr="00195766">
        <w:rPr>
          <w:rFonts w:ascii="Arial" w:eastAsiaTheme="minorHAnsi" w:hAnsi="Arial" w:cs="Arial"/>
          <w:sz w:val="20"/>
        </w:rPr>
        <w:t>c)</w:t>
      </w:r>
      <w:r w:rsidRPr="00195766">
        <w:rPr>
          <w:rFonts w:ascii="Arial" w:eastAsiaTheme="minorHAnsi" w:hAnsi="Arial" w:cs="Arial"/>
          <w:sz w:val="20"/>
        </w:rPr>
        <w:tab/>
      </w:r>
      <w:r w:rsidR="00195766" w:rsidRPr="00195766">
        <w:rPr>
          <w:rFonts w:ascii="Arial" w:eastAsiaTheme="minorHAnsi" w:hAnsi="Arial" w:cs="Arial"/>
          <w:sz w:val="20"/>
        </w:rPr>
        <w:t>znění odstavce 6. se ruší a nahrazuje se novým zněním takto:</w:t>
      </w:r>
    </w:p>
    <w:p w14:paraId="09AF91C3" w14:textId="1DE2AFB3" w:rsidR="00195766" w:rsidRPr="00195766" w:rsidRDefault="00195766" w:rsidP="00195766">
      <w:pPr>
        <w:spacing w:line="276" w:lineRule="auto"/>
        <w:ind w:left="709" w:hanging="352"/>
        <w:rPr>
          <w:rFonts w:ascii="Arial" w:eastAsiaTheme="minorHAnsi" w:hAnsi="Arial" w:cs="Arial"/>
          <w:sz w:val="20"/>
        </w:rPr>
      </w:pPr>
      <w:r w:rsidRPr="00195766">
        <w:rPr>
          <w:rFonts w:ascii="Arial" w:eastAsiaTheme="minorHAnsi" w:hAnsi="Arial" w:cs="Arial"/>
          <w:sz w:val="20"/>
        </w:rPr>
        <w:t>„6. Každá faktura musí obsahovat náležitosti stanovené zákonem č. 563/1991 Sb., o účetnictví, ve</w:t>
      </w:r>
    </w:p>
    <w:p w14:paraId="2F77980B" w14:textId="77777777" w:rsidR="00195766" w:rsidRPr="00195766" w:rsidRDefault="00195766" w:rsidP="00195766">
      <w:pPr>
        <w:spacing w:line="276" w:lineRule="auto"/>
        <w:ind w:left="709"/>
        <w:rPr>
          <w:rFonts w:ascii="Arial" w:eastAsiaTheme="minorHAnsi" w:hAnsi="Arial" w:cs="Arial"/>
          <w:sz w:val="20"/>
        </w:rPr>
      </w:pPr>
      <w:r w:rsidRPr="00195766">
        <w:rPr>
          <w:rFonts w:ascii="Arial" w:eastAsiaTheme="minorHAnsi" w:hAnsi="Arial" w:cs="Arial"/>
          <w:sz w:val="20"/>
        </w:rPr>
        <w:t>znění pozdějších předpisů, zákonem č. 235/2004 Sb., o dani z přidané hodnoty, ve znění</w:t>
      </w:r>
    </w:p>
    <w:p w14:paraId="5864179B" w14:textId="3261CD5C" w:rsidR="00A910E4" w:rsidRPr="00195766" w:rsidRDefault="00195766" w:rsidP="00195766">
      <w:pPr>
        <w:spacing w:after="200" w:line="276" w:lineRule="auto"/>
        <w:ind w:left="709" w:hanging="1"/>
        <w:rPr>
          <w:rFonts w:ascii="Arial" w:eastAsiaTheme="minorHAnsi" w:hAnsi="Arial" w:cs="Arial"/>
          <w:sz w:val="20"/>
        </w:rPr>
      </w:pPr>
      <w:r w:rsidRPr="00195766">
        <w:rPr>
          <w:rFonts w:ascii="Arial" w:eastAsiaTheme="minorHAnsi" w:hAnsi="Arial" w:cs="Arial"/>
          <w:sz w:val="20"/>
        </w:rPr>
        <w:t>pozdějších předpisů, a § 435 občanského zákoníku. Každá faktura musí obsahovat stručný popis plnění a číslo této Smlouvy (4100043956).</w:t>
      </w:r>
    </w:p>
    <w:p w14:paraId="044205A1" w14:textId="7BF29AA7" w:rsidR="00E537E5" w:rsidRPr="00195766" w:rsidRDefault="00930E51" w:rsidP="006172CF">
      <w:pPr>
        <w:pStyle w:val="Odrazkac"/>
        <w:rPr>
          <w:rFonts w:ascii="Arial" w:eastAsiaTheme="minorHAnsi" w:hAnsi="Arial" w:cs="Arial"/>
          <w:sz w:val="20"/>
        </w:rPr>
      </w:pPr>
      <w:r w:rsidRPr="00195766">
        <w:rPr>
          <w:rFonts w:ascii="Arial" w:eastAsiaTheme="minorHAnsi" w:hAnsi="Arial" w:cs="Arial"/>
          <w:sz w:val="20"/>
        </w:rPr>
        <w:t>V</w:t>
      </w:r>
      <w:r w:rsidR="00927B6F" w:rsidRPr="00195766">
        <w:rPr>
          <w:rFonts w:ascii="Arial" w:eastAsiaTheme="minorHAnsi" w:hAnsi="Arial" w:cs="Arial"/>
          <w:sz w:val="20"/>
        </w:rPr>
        <w:t xml:space="preserve"> </w:t>
      </w:r>
      <w:r w:rsidRPr="00195766">
        <w:rPr>
          <w:rFonts w:ascii="Arial" w:eastAsiaTheme="minorHAnsi" w:hAnsi="Arial" w:cs="Arial"/>
          <w:sz w:val="20"/>
        </w:rPr>
        <w:t>ostatním zůstávají ustanovení Smlouvy beze změny.</w:t>
      </w:r>
    </w:p>
    <w:p w14:paraId="2523F666" w14:textId="295831CC" w:rsidR="00A93E79" w:rsidRDefault="00A93E79" w:rsidP="00A93E79">
      <w:pPr>
        <w:pStyle w:val="Odrazkac"/>
        <w:numPr>
          <w:ilvl w:val="0"/>
          <w:numId w:val="0"/>
        </w:numPr>
        <w:ind w:left="360"/>
        <w:rPr>
          <w:rFonts w:eastAsiaTheme="minorHAnsi"/>
        </w:rPr>
      </w:pPr>
    </w:p>
    <w:p w14:paraId="377B3341" w14:textId="0C6A1DC8" w:rsidR="00195766" w:rsidRDefault="00195766" w:rsidP="00A93E79">
      <w:pPr>
        <w:pStyle w:val="Odrazkac"/>
        <w:numPr>
          <w:ilvl w:val="0"/>
          <w:numId w:val="0"/>
        </w:numPr>
        <w:ind w:left="360"/>
        <w:rPr>
          <w:rFonts w:eastAsiaTheme="minorHAnsi"/>
        </w:rPr>
      </w:pPr>
    </w:p>
    <w:p w14:paraId="5E053AFA" w14:textId="09B460F1" w:rsidR="00195766" w:rsidRDefault="00195766" w:rsidP="00A93E79">
      <w:pPr>
        <w:pStyle w:val="Odrazkac"/>
        <w:numPr>
          <w:ilvl w:val="0"/>
          <w:numId w:val="0"/>
        </w:numPr>
        <w:ind w:left="360"/>
        <w:rPr>
          <w:rFonts w:eastAsiaTheme="minorHAnsi"/>
        </w:rPr>
      </w:pPr>
    </w:p>
    <w:p w14:paraId="67F7A20A" w14:textId="77777777" w:rsidR="00195766" w:rsidRPr="00C348A9" w:rsidRDefault="00195766" w:rsidP="00A93E79">
      <w:pPr>
        <w:pStyle w:val="Odrazkac"/>
        <w:numPr>
          <w:ilvl w:val="0"/>
          <w:numId w:val="0"/>
        </w:numPr>
        <w:ind w:left="360"/>
        <w:rPr>
          <w:rFonts w:eastAsiaTheme="minorHAnsi"/>
        </w:rPr>
      </w:pPr>
    </w:p>
    <w:p w14:paraId="2FB2D83A" w14:textId="1569004D" w:rsidR="00776971" w:rsidRPr="00C348A9" w:rsidRDefault="00776971" w:rsidP="00927B6F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53D526A5" w14:textId="258F858A" w:rsidR="00FE059C" w:rsidRPr="00C662D1" w:rsidRDefault="00FE059C" w:rsidP="00D23561">
      <w:p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C662D1">
        <w:rPr>
          <w:rFonts w:ascii="Arial" w:eastAsiaTheme="minorHAnsi" w:hAnsi="Arial" w:cs="Arial"/>
          <w:b/>
          <w:sz w:val="20"/>
          <w:lang w:eastAsia="en-US"/>
        </w:rPr>
        <w:t>Článek I</w:t>
      </w:r>
      <w:r w:rsidR="00106AD7" w:rsidRPr="00C662D1">
        <w:rPr>
          <w:rFonts w:ascii="Arial" w:eastAsiaTheme="minorHAnsi" w:hAnsi="Arial" w:cs="Arial"/>
          <w:b/>
          <w:sz w:val="20"/>
          <w:lang w:eastAsia="en-US"/>
        </w:rPr>
        <w:t>I</w:t>
      </w:r>
      <w:r w:rsidR="003852F5" w:rsidRPr="00C662D1">
        <w:rPr>
          <w:rFonts w:ascii="Arial" w:eastAsiaTheme="minorHAnsi" w:hAnsi="Arial" w:cs="Arial"/>
          <w:b/>
          <w:sz w:val="20"/>
          <w:lang w:eastAsia="en-US"/>
        </w:rPr>
        <w:t>.</w:t>
      </w:r>
    </w:p>
    <w:p w14:paraId="33386FB8" w14:textId="77777777" w:rsidR="00046680" w:rsidRPr="00F75D19" w:rsidRDefault="00046680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722AF47" w14:textId="77777777" w:rsidR="00867116" w:rsidRDefault="0086711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5930B110" w14:textId="59377593" w:rsidR="00857585" w:rsidRPr="00D02293" w:rsidRDefault="00857585" w:rsidP="0067733F">
      <w:pPr>
        <w:pStyle w:val="Odrazkac"/>
        <w:numPr>
          <w:ilvl w:val="0"/>
          <w:numId w:val="6"/>
        </w:numPr>
        <w:spacing w:before="0" w:after="120" w:line="276" w:lineRule="auto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AD7500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se uzavírá písemně v elektronické podobě. Tento Dodatek č. </w:t>
      </w:r>
      <w:r w:rsidR="00AD7500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je podepsán elektronickým podpisem dle zákona č. 297/2016 Sb., o službách vytvářejících důvěru pro elektronické transakce, ve znění pozdějších předpisů (dále jen „</w:t>
      </w:r>
      <w:r w:rsidRPr="00F43C0A">
        <w:rPr>
          <w:rFonts w:ascii="Arial" w:hAnsi="Arial" w:cs="Arial"/>
          <w:bCs/>
          <w:sz w:val="20"/>
        </w:rPr>
        <w:t>ZSVD</w:t>
      </w:r>
      <w:r w:rsidRPr="00D02293">
        <w:rPr>
          <w:rFonts w:ascii="Arial" w:hAnsi="Arial" w:cs="Arial"/>
          <w:sz w:val="20"/>
        </w:rPr>
        <w:t xml:space="preserve">“). Smluvní strany se dohodly, že Poskytovatel podepíše tento Dodatek č. </w:t>
      </w:r>
      <w:r w:rsidR="00AD7500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uznávaným elektronickým podpisem ve smyslu § 6 odst. 2 ZSVD; Objednatel tento Dodatek č. </w:t>
      </w:r>
      <w:r w:rsidR="00AD7500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podepíše v souladu s § 5 ZSVD kvalifikovaným elektronickým podpisem.</w:t>
      </w:r>
    </w:p>
    <w:p w14:paraId="3C058EFA" w14:textId="6D8F9E20" w:rsidR="00857585" w:rsidRPr="00D02293" w:rsidRDefault="00857585" w:rsidP="0067733F">
      <w:pPr>
        <w:pStyle w:val="Odrazkac"/>
        <w:numPr>
          <w:ilvl w:val="0"/>
          <w:numId w:val="6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AD7500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 w:rsidR="00AD7500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02293">
        <w:rPr>
          <w:rFonts w:ascii="Arial" w:eastAsiaTheme="minorHAnsi" w:hAnsi="Arial" w:cs="Arial"/>
          <w:sz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14:paraId="0899F7C3" w14:textId="0C7EE06F" w:rsidR="008F1B40" w:rsidRPr="00D02293" w:rsidRDefault="00857585" w:rsidP="0067733F">
      <w:pPr>
        <w:pStyle w:val="Odstavecseseznamem"/>
        <w:numPr>
          <w:ilvl w:val="0"/>
          <w:numId w:val="6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D02293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AD7500">
        <w:rPr>
          <w:rFonts w:ascii="Arial" w:eastAsiaTheme="minorHAnsi" w:hAnsi="Arial" w:cs="Arial"/>
          <w:sz w:val="20"/>
          <w:lang w:eastAsia="en-US"/>
        </w:rPr>
        <w:t>1</w:t>
      </w:r>
      <w:r w:rsidRPr="00D02293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č. </w:t>
      </w:r>
      <w:r w:rsidR="00AD7500">
        <w:rPr>
          <w:rFonts w:ascii="Arial" w:eastAsiaTheme="minorHAnsi" w:hAnsi="Arial" w:cs="Arial"/>
          <w:sz w:val="20"/>
          <w:lang w:eastAsia="en-US"/>
        </w:rPr>
        <w:t>1</w:t>
      </w:r>
      <w:r w:rsidRPr="00D02293">
        <w:rPr>
          <w:rFonts w:ascii="Arial" w:eastAsiaTheme="minorHAnsi" w:hAnsi="Arial" w:cs="Arial"/>
          <w:sz w:val="20"/>
          <w:lang w:eastAsia="en-US"/>
        </w:rPr>
        <w:t>, zůstávají nadále platná a účinná.</w:t>
      </w:r>
    </w:p>
    <w:p w14:paraId="1F9FD2F8" w14:textId="77777777" w:rsidR="00536AB0" w:rsidRPr="00D02293" w:rsidRDefault="00536AB0" w:rsidP="00536AB0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525E2F05" w14:textId="370D5492" w:rsidR="003C620F" w:rsidRDefault="00001988" w:rsidP="0067733F">
      <w:pPr>
        <w:pStyle w:val="Odstavecseseznamem"/>
        <w:numPr>
          <w:ilvl w:val="0"/>
          <w:numId w:val="6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D02293">
        <w:rPr>
          <w:rFonts w:ascii="Arial" w:hAnsi="Arial" w:cs="Arial"/>
          <w:bCs/>
          <w:sz w:val="20"/>
        </w:rPr>
        <w:t xml:space="preserve">Smluvní strany si před podpisem tento Dodatek č. </w:t>
      </w:r>
      <w:r w:rsidR="00AD7500">
        <w:rPr>
          <w:rFonts w:ascii="Arial" w:hAnsi="Arial" w:cs="Arial"/>
          <w:bCs/>
          <w:sz w:val="20"/>
        </w:rPr>
        <w:t>1</w:t>
      </w:r>
      <w:r w:rsidRPr="00D02293">
        <w:rPr>
          <w:rFonts w:ascii="Arial" w:hAnsi="Arial" w:cs="Arial"/>
          <w:bCs/>
          <w:sz w:val="20"/>
        </w:rPr>
        <w:t xml:space="preserve"> řádně přečetly a svůj souhlas s obsahem jednotlivých ustanovení tohoto Dodatku č. </w:t>
      </w:r>
      <w:r w:rsidR="00AD7500">
        <w:rPr>
          <w:rFonts w:ascii="Arial" w:hAnsi="Arial" w:cs="Arial"/>
          <w:bCs/>
          <w:sz w:val="20"/>
        </w:rPr>
        <w:t>1</w:t>
      </w:r>
      <w:r w:rsidRPr="00D02293">
        <w:rPr>
          <w:rFonts w:ascii="Arial" w:hAnsi="Arial" w:cs="Arial"/>
          <w:bCs/>
          <w:sz w:val="20"/>
        </w:rPr>
        <w:t xml:space="preserve"> stvrzují svým podpisem.</w:t>
      </w:r>
    </w:p>
    <w:p w14:paraId="58A70925" w14:textId="77777777" w:rsidR="00666FB3" w:rsidRPr="00666FB3" w:rsidRDefault="00666FB3" w:rsidP="00666FB3">
      <w:pPr>
        <w:pStyle w:val="Odstavecseseznamem"/>
        <w:rPr>
          <w:rFonts w:ascii="Arial" w:hAnsi="Arial" w:cs="Arial"/>
          <w:bCs/>
          <w:sz w:val="20"/>
        </w:rPr>
      </w:pPr>
    </w:p>
    <w:p w14:paraId="15722FF8" w14:textId="2019E869" w:rsidR="00666FB3" w:rsidRDefault="00666FB3" w:rsidP="00666FB3">
      <w:pPr>
        <w:suppressAutoHyphens/>
        <w:spacing w:after="200" w:line="276" w:lineRule="auto"/>
        <w:rPr>
          <w:rFonts w:ascii="Arial" w:hAnsi="Arial" w:cs="Arial"/>
          <w:bCs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14:paraId="20AB16E6" w14:textId="77777777" w:rsidTr="006C5B46">
        <w:tc>
          <w:tcPr>
            <w:tcW w:w="1968" w:type="pct"/>
          </w:tcPr>
          <w:p w14:paraId="365DC398" w14:textId="77777777" w:rsidR="00046680" w:rsidRPr="00046680" w:rsidRDefault="00046680" w:rsidP="00AC4F6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08" w:type="pct"/>
          </w:tcPr>
          <w:p w14:paraId="46256ADF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01DDA088" w14:textId="25F79E83" w:rsidR="001A43C2" w:rsidRPr="00624E47" w:rsidRDefault="00AD7500" w:rsidP="006C5B46">
            <w:pPr>
              <w:spacing w:after="120" w:line="276" w:lineRule="auto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ČD – Telematika a.s.</w:t>
            </w:r>
          </w:p>
          <w:p w14:paraId="2481BFE2" w14:textId="3F8457AA" w:rsidR="00046680" w:rsidRPr="00046680" w:rsidRDefault="00046680" w:rsidP="006C5B46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7EC8C53E" w14:textId="77777777" w:rsidTr="00906BDC">
        <w:tc>
          <w:tcPr>
            <w:tcW w:w="1968" w:type="pct"/>
            <w:vAlign w:val="bottom"/>
          </w:tcPr>
          <w:p w14:paraId="5E9A2834" w14:textId="495B56D3" w:rsid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01EADB9" w14:textId="0D89B733" w:rsidR="006C5B46" w:rsidRDefault="006C5B46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B054B00" w14:textId="77777777" w:rsidR="00315532" w:rsidRPr="00046680" w:rsidRDefault="00315532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  <w:vAlign w:val="bottom"/>
          </w:tcPr>
          <w:p w14:paraId="751B1F5B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2C8ED687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666FB3" w14:paraId="51035E4C" w14:textId="77777777" w:rsidTr="00906BDC">
        <w:tc>
          <w:tcPr>
            <w:tcW w:w="1968" w:type="pct"/>
          </w:tcPr>
          <w:p w14:paraId="7743D14F" w14:textId="77777777" w:rsidR="00046680" w:rsidRPr="00666FB3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666FB3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C1B237" w14:textId="77777777" w:rsidR="00046680" w:rsidRPr="00666FB3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666FB3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608" w:type="pct"/>
          </w:tcPr>
          <w:p w14:paraId="44DEE530" w14:textId="77777777" w:rsidR="00046680" w:rsidRPr="00666FB3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6FFD45DD" w14:textId="022B63A7" w:rsidR="00666FB3" w:rsidRPr="00666FB3" w:rsidRDefault="00666FB3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Ing. </w:t>
            </w:r>
            <w:r w:rsidRPr="00666FB3">
              <w:rPr>
                <w:rFonts w:ascii="Arial" w:eastAsiaTheme="minorHAnsi" w:hAnsi="Arial" w:cs="Arial"/>
                <w:sz w:val="20"/>
                <w:lang w:eastAsia="en-US"/>
              </w:rPr>
              <w:t xml:space="preserve">Jan Hobza </w:t>
            </w:r>
          </w:p>
          <w:p w14:paraId="6556E105" w14:textId="649A6240" w:rsidR="00E329EA" w:rsidRPr="00666FB3" w:rsidRDefault="00666FB3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666FB3">
              <w:rPr>
                <w:rFonts w:ascii="Arial" w:eastAsiaTheme="minorHAnsi" w:hAnsi="Arial" w:cs="Arial"/>
                <w:sz w:val="20"/>
                <w:lang w:eastAsia="en-US"/>
              </w:rPr>
              <w:t>předseda</w:t>
            </w:r>
            <w:r w:rsidR="00E329EA" w:rsidRPr="00666FB3">
              <w:rPr>
                <w:rFonts w:ascii="Arial" w:eastAsiaTheme="minorHAnsi" w:hAnsi="Arial" w:cs="Arial"/>
                <w:sz w:val="20"/>
                <w:lang w:eastAsia="en-US"/>
              </w:rPr>
              <w:t xml:space="preserve"> představenstva</w:t>
            </w:r>
          </w:p>
        </w:tc>
      </w:tr>
    </w:tbl>
    <w:p w14:paraId="7099ACD3" w14:textId="528803DA" w:rsidR="00666FB3" w:rsidRPr="00666FB3" w:rsidRDefault="00666FB3" w:rsidP="00666FB3">
      <w:pPr>
        <w:rPr>
          <w:rFonts w:ascii="Arial" w:eastAsiaTheme="minorHAnsi" w:hAnsi="Arial" w:cs="Arial"/>
          <w:sz w:val="20"/>
          <w:lang w:eastAsia="en-US"/>
        </w:rPr>
      </w:pPr>
    </w:p>
    <w:p w14:paraId="47089CEF" w14:textId="30795564" w:rsidR="00666FB3" w:rsidRPr="00666FB3" w:rsidRDefault="00666FB3" w:rsidP="00666FB3">
      <w:pPr>
        <w:rPr>
          <w:rFonts w:ascii="Arial" w:eastAsiaTheme="minorHAnsi" w:hAnsi="Arial" w:cs="Arial"/>
          <w:sz w:val="20"/>
          <w:lang w:eastAsia="en-US"/>
        </w:rPr>
      </w:pPr>
    </w:p>
    <w:p w14:paraId="39CDABA1" w14:textId="223E1236" w:rsidR="00666FB3" w:rsidRPr="00666FB3" w:rsidRDefault="00666FB3" w:rsidP="00666FB3">
      <w:pPr>
        <w:rPr>
          <w:rFonts w:ascii="Arial" w:eastAsiaTheme="minorHAnsi" w:hAnsi="Arial" w:cs="Arial"/>
          <w:sz w:val="20"/>
          <w:lang w:eastAsia="en-US"/>
        </w:rPr>
      </w:pPr>
    </w:p>
    <w:p w14:paraId="424D6979" w14:textId="22104515" w:rsidR="00666FB3" w:rsidRDefault="00666FB3" w:rsidP="00666FB3">
      <w:pPr>
        <w:rPr>
          <w:rFonts w:ascii="Arial" w:eastAsiaTheme="minorHAnsi" w:hAnsi="Arial" w:cs="Arial"/>
          <w:sz w:val="20"/>
          <w:lang w:eastAsia="en-US"/>
        </w:rPr>
      </w:pPr>
    </w:p>
    <w:p w14:paraId="6536FC3C" w14:textId="09778030" w:rsidR="00195766" w:rsidRDefault="00195766" w:rsidP="00666FB3">
      <w:pPr>
        <w:rPr>
          <w:rFonts w:ascii="Arial" w:eastAsiaTheme="minorHAnsi" w:hAnsi="Arial" w:cs="Arial"/>
          <w:sz w:val="20"/>
          <w:lang w:eastAsia="en-US"/>
        </w:rPr>
      </w:pPr>
    </w:p>
    <w:p w14:paraId="487D649D" w14:textId="77777777" w:rsidR="00195766" w:rsidRPr="00666FB3" w:rsidRDefault="00195766" w:rsidP="00666FB3">
      <w:pPr>
        <w:rPr>
          <w:rFonts w:ascii="Arial" w:eastAsiaTheme="minorHAnsi" w:hAnsi="Arial" w:cs="Arial"/>
          <w:sz w:val="20"/>
          <w:lang w:eastAsia="en-US"/>
        </w:rPr>
      </w:pPr>
    </w:p>
    <w:p w14:paraId="1C1796FB" w14:textId="5007DC38" w:rsidR="00666FB3" w:rsidRPr="00666FB3" w:rsidRDefault="00666FB3" w:rsidP="00666FB3">
      <w:pPr>
        <w:rPr>
          <w:rFonts w:ascii="Arial" w:eastAsiaTheme="minorHAnsi" w:hAnsi="Arial" w:cs="Arial"/>
          <w:sz w:val="20"/>
          <w:lang w:eastAsia="en-US"/>
        </w:rPr>
      </w:pPr>
    </w:p>
    <w:p w14:paraId="71F536BB" w14:textId="344E74DE" w:rsidR="00666FB3" w:rsidRPr="00666FB3" w:rsidRDefault="00666FB3" w:rsidP="00666FB3">
      <w:pPr>
        <w:spacing w:after="200" w:line="276" w:lineRule="auto"/>
        <w:contextualSpacing/>
        <w:rPr>
          <w:rFonts w:ascii="Arial" w:eastAsiaTheme="minorHAnsi" w:hAnsi="Arial" w:cs="Arial"/>
          <w:sz w:val="20"/>
          <w:lang w:eastAsia="en-US"/>
        </w:rPr>
      </w:pPr>
      <w:r w:rsidRPr="00666FB3">
        <w:rPr>
          <w:rFonts w:ascii="Arial" w:eastAsiaTheme="minorHAnsi" w:hAnsi="Arial" w:cs="Arial"/>
          <w:sz w:val="20"/>
          <w:lang w:eastAsia="en-US"/>
        </w:rPr>
        <w:tab/>
      </w:r>
      <w:r w:rsidRPr="00666FB3">
        <w:rPr>
          <w:rFonts w:ascii="Arial" w:eastAsiaTheme="minorHAnsi" w:hAnsi="Arial" w:cs="Arial"/>
          <w:sz w:val="20"/>
          <w:lang w:eastAsia="en-US"/>
        </w:rPr>
        <w:tab/>
      </w:r>
      <w:r w:rsidRPr="00666FB3">
        <w:rPr>
          <w:rFonts w:ascii="Arial" w:eastAsiaTheme="minorHAnsi" w:hAnsi="Arial" w:cs="Arial"/>
          <w:sz w:val="20"/>
          <w:lang w:eastAsia="en-US"/>
        </w:rPr>
        <w:tab/>
      </w:r>
      <w:r w:rsidRPr="00666FB3">
        <w:rPr>
          <w:rFonts w:ascii="Arial" w:eastAsiaTheme="minorHAnsi" w:hAnsi="Arial" w:cs="Arial"/>
          <w:sz w:val="20"/>
          <w:lang w:eastAsia="en-US"/>
        </w:rPr>
        <w:tab/>
      </w:r>
      <w:r w:rsidRPr="00666FB3">
        <w:rPr>
          <w:rFonts w:ascii="Arial" w:eastAsiaTheme="minorHAnsi" w:hAnsi="Arial" w:cs="Arial"/>
          <w:sz w:val="20"/>
          <w:lang w:eastAsia="en-US"/>
        </w:rPr>
        <w:tab/>
      </w:r>
      <w:r w:rsidRPr="00666FB3">
        <w:rPr>
          <w:rFonts w:ascii="Arial" w:eastAsiaTheme="minorHAnsi" w:hAnsi="Arial" w:cs="Arial"/>
          <w:sz w:val="20"/>
          <w:lang w:eastAsia="en-US"/>
        </w:rPr>
        <w:tab/>
      </w:r>
      <w:r w:rsidRPr="00666FB3">
        <w:rPr>
          <w:rFonts w:ascii="Arial" w:eastAsiaTheme="minorHAnsi" w:hAnsi="Arial" w:cs="Arial"/>
          <w:sz w:val="20"/>
          <w:lang w:eastAsia="en-US"/>
        </w:rPr>
        <w:tab/>
      </w:r>
      <w:r w:rsidRPr="00666FB3"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 xml:space="preserve">    Mgr. </w:t>
      </w:r>
      <w:r w:rsidRPr="00666FB3">
        <w:rPr>
          <w:rFonts w:ascii="Arial" w:eastAsiaTheme="minorHAnsi" w:hAnsi="Arial" w:cs="Arial"/>
          <w:sz w:val="20"/>
          <w:lang w:eastAsia="en-US"/>
        </w:rPr>
        <w:t xml:space="preserve">Tomáš </w:t>
      </w:r>
      <w:proofErr w:type="spellStart"/>
      <w:r w:rsidRPr="00666FB3">
        <w:rPr>
          <w:rFonts w:ascii="Arial" w:eastAsiaTheme="minorHAnsi" w:hAnsi="Arial" w:cs="Arial"/>
          <w:sz w:val="20"/>
          <w:lang w:eastAsia="en-US"/>
        </w:rPr>
        <w:t>Businský</w:t>
      </w:r>
      <w:proofErr w:type="spellEnd"/>
    </w:p>
    <w:p w14:paraId="589843A8" w14:textId="2C9E2620" w:rsidR="00666FB3" w:rsidRPr="00666FB3" w:rsidRDefault="00666FB3" w:rsidP="00666FB3">
      <w:pPr>
        <w:tabs>
          <w:tab w:val="left" w:pos="6660"/>
        </w:tabs>
        <w:rPr>
          <w:rFonts w:ascii="Arial" w:eastAsiaTheme="minorHAnsi" w:hAnsi="Arial" w:cs="Arial"/>
          <w:sz w:val="20"/>
          <w:lang w:eastAsia="en-US"/>
        </w:rPr>
      </w:pPr>
      <w:r w:rsidRPr="00666FB3">
        <w:rPr>
          <w:rFonts w:ascii="Arial" w:eastAsiaTheme="minorHAnsi" w:hAnsi="Arial" w:cs="Arial"/>
          <w:sz w:val="20"/>
          <w:lang w:eastAsia="en-US"/>
        </w:rPr>
        <w:t xml:space="preserve">                                                                                                         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Pr="00666FB3">
        <w:rPr>
          <w:rFonts w:ascii="Arial" w:eastAsiaTheme="minorHAnsi" w:hAnsi="Arial" w:cs="Arial"/>
          <w:sz w:val="20"/>
          <w:lang w:eastAsia="en-US"/>
        </w:rPr>
        <w:t xml:space="preserve"> člen představenstva</w:t>
      </w:r>
    </w:p>
    <w:sectPr w:rsidR="00666FB3" w:rsidRPr="00666FB3" w:rsidSect="005858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93AD" w14:textId="77777777" w:rsidR="00EB44DC" w:rsidRDefault="00EB44DC" w:rsidP="00EA57EC">
      <w:r>
        <w:separator/>
      </w:r>
    </w:p>
  </w:endnote>
  <w:endnote w:type="continuationSeparator" w:id="0">
    <w:p w14:paraId="0B7F0F45" w14:textId="77777777" w:rsidR="00EB44DC" w:rsidRDefault="00EB44DC" w:rsidP="00EA57EC">
      <w:r>
        <w:continuationSeparator/>
      </w:r>
    </w:p>
  </w:endnote>
  <w:endnote w:type="continuationNotice" w:id="1">
    <w:p w14:paraId="62FD58BC" w14:textId="77777777" w:rsidR="00EB44DC" w:rsidRDefault="00EB4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471494"/>
      <w:docPartObj>
        <w:docPartGallery w:val="Page Numbers (Bottom of Page)"/>
        <w:docPartUnique/>
      </w:docPartObj>
    </w:sdtPr>
    <w:sdtEndPr/>
    <w:sdtContent>
      <w:p w14:paraId="2B7EB1D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4E">
          <w:rPr>
            <w:noProof/>
          </w:rPr>
          <w:t>1</w:t>
        </w:r>
        <w:r>
          <w:fldChar w:fldCharType="end"/>
        </w:r>
      </w:p>
    </w:sdtContent>
  </w:sdt>
  <w:p w14:paraId="36792BB2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78AB" w14:textId="77777777" w:rsidR="00EB44DC" w:rsidRDefault="00EB44DC" w:rsidP="00EA57EC">
      <w:r>
        <w:separator/>
      </w:r>
    </w:p>
  </w:footnote>
  <w:footnote w:type="continuationSeparator" w:id="0">
    <w:p w14:paraId="31253785" w14:textId="77777777" w:rsidR="00EB44DC" w:rsidRDefault="00EB44DC" w:rsidP="00EA57EC">
      <w:r>
        <w:continuationSeparator/>
      </w:r>
    </w:p>
  </w:footnote>
  <w:footnote w:type="continuationNotice" w:id="1">
    <w:p w14:paraId="6887F4DA" w14:textId="77777777" w:rsidR="00EB44DC" w:rsidRDefault="00EB44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3" w15:restartNumberingAfterBreak="0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267E1"/>
    <w:multiLevelType w:val="hybridMultilevel"/>
    <w:tmpl w:val="F594F9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activeWritingStyle w:appName="MSWord" w:lang="cs-CZ" w:vendorID="7" w:dllVersion="514" w:checkStyle="1"/>
  <w:proofState w:spelling="clean" w:grammar="clean"/>
  <w:trackRevisions/>
  <w:doNotTrackFormatting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1169"/>
    <w:rsid w:val="00001988"/>
    <w:rsid w:val="0000227E"/>
    <w:rsid w:val="000057ED"/>
    <w:rsid w:val="0001039D"/>
    <w:rsid w:val="00012BE2"/>
    <w:rsid w:val="00013DCA"/>
    <w:rsid w:val="00015C2A"/>
    <w:rsid w:val="00016CEE"/>
    <w:rsid w:val="00016EE1"/>
    <w:rsid w:val="0002566D"/>
    <w:rsid w:val="00031DA4"/>
    <w:rsid w:val="000320E1"/>
    <w:rsid w:val="00032474"/>
    <w:rsid w:val="0003585B"/>
    <w:rsid w:val="00037BBE"/>
    <w:rsid w:val="000403BA"/>
    <w:rsid w:val="0004228B"/>
    <w:rsid w:val="00044F57"/>
    <w:rsid w:val="00046680"/>
    <w:rsid w:val="000578E3"/>
    <w:rsid w:val="0006591E"/>
    <w:rsid w:val="00070003"/>
    <w:rsid w:val="00071B83"/>
    <w:rsid w:val="00075871"/>
    <w:rsid w:val="000759E3"/>
    <w:rsid w:val="00076589"/>
    <w:rsid w:val="0007773F"/>
    <w:rsid w:val="00080825"/>
    <w:rsid w:val="00081F12"/>
    <w:rsid w:val="000833E9"/>
    <w:rsid w:val="00086F33"/>
    <w:rsid w:val="00095F3C"/>
    <w:rsid w:val="00096A5A"/>
    <w:rsid w:val="000A0300"/>
    <w:rsid w:val="000A03EA"/>
    <w:rsid w:val="000A4928"/>
    <w:rsid w:val="000B1069"/>
    <w:rsid w:val="000B4CBC"/>
    <w:rsid w:val="000C5502"/>
    <w:rsid w:val="000E0B54"/>
    <w:rsid w:val="000E3E6B"/>
    <w:rsid w:val="000E68C3"/>
    <w:rsid w:val="000F4C9F"/>
    <w:rsid w:val="000F5540"/>
    <w:rsid w:val="000F63E7"/>
    <w:rsid w:val="00103764"/>
    <w:rsid w:val="0010441C"/>
    <w:rsid w:val="001063E9"/>
    <w:rsid w:val="00106AD7"/>
    <w:rsid w:val="001071EB"/>
    <w:rsid w:val="001174E5"/>
    <w:rsid w:val="00121445"/>
    <w:rsid w:val="0012246C"/>
    <w:rsid w:val="001230AF"/>
    <w:rsid w:val="00125023"/>
    <w:rsid w:val="0012715F"/>
    <w:rsid w:val="00132F89"/>
    <w:rsid w:val="00154228"/>
    <w:rsid w:val="0015602B"/>
    <w:rsid w:val="00161B42"/>
    <w:rsid w:val="001649E8"/>
    <w:rsid w:val="00164E9F"/>
    <w:rsid w:val="00167989"/>
    <w:rsid w:val="00173931"/>
    <w:rsid w:val="00175B09"/>
    <w:rsid w:val="00184C35"/>
    <w:rsid w:val="00184D29"/>
    <w:rsid w:val="00190847"/>
    <w:rsid w:val="00191ABF"/>
    <w:rsid w:val="00195766"/>
    <w:rsid w:val="00197BD0"/>
    <w:rsid w:val="001A070D"/>
    <w:rsid w:val="001A1ABC"/>
    <w:rsid w:val="001A43C2"/>
    <w:rsid w:val="001A4F6A"/>
    <w:rsid w:val="001B09FA"/>
    <w:rsid w:val="001B522A"/>
    <w:rsid w:val="001B7972"/>
    <w:rsid w:val="001C426D"/>
    <w:rsid w:val="001D1476"/>
    <w:rsid w:val="001D7B58"/>
    <w:rsid w:val="001E00E3"/>
    <w:rsid w:val="001E0E35"/>
    <w:rsid w:val="001E1A4D"/>
    <w:rsid w:val="001E4A04"/>
    <w:rsid w:val="001E5F3C"/>
    <w:rsid w:val="001F1155"/>
    <w:rsid w:val="001F12E6"/>
    <w:rsid w:val="001F5053"/>
    <w:rsid w:val="00202B7E"/>
    <w:rsid w:val="00203717"/>
    <w:rsid w:val="0020551C"/>
    <w:rsid w:val="00214743"/>
    <w:rsid w:val="00215B2F"/>
    <w:rsid w:val="00220B75"/>
    <w:rsid w:val="0022667B"/>
    <w:rsid w:val="00234697"/>
    <w:rsid w:val="00236283"/>
    <w:rsid w:val="00242CD3"/>
    <w:rsid w:val="00252893"/>
    <w:rsid w:val="00266996"/>
    <w:rsid w:val="00267500"/>
    <w:rsid w:val="00270747"/>
    <w:rsid w:val="00277A16"/>
    <w:rsid w:val="00285F9D"/>
    <w:rsid w:val="00287B5F"/>
    <w:rsid w:val="00292605"/>
    <w:rsid w:val="00292810"/>
    <w:rsid w:val="002A0DCE"/>
    <w:rsid w:val="002A42FB"/>
    <w:rsid w:val="002A4DA4"/>
    <w:rsid w:val="002A6464"/>
    <w:rsid w:val="002A7387"/>
    <w:rsid w:val="002B397D"/>
    <w:rsid w:val="002B424D"/>
    <w:rsid w:val="002B76D0"/>
    <w:rsid w:val="002C1B1D"/>
    <w:rsid w:val="002C3E7A"/>
    <w:rsid w:val="002D0356"/>
    <w:rsid w:val="002D06F8"/>
    <w:rsid w:val="002D0B74"/>
    <w:rsid w:val="002D175F"/>
    <w:rsid w:val="002D296E"/>
    <w:rsid w:val="002D3024"/>
    <w:rsid w:val="002D3858"/>
    <w:rsid w:val="002E0369"/>
    <w:rsid w:val="002E0FF5"/>
    <w:rsid w:val="002E2EC3"/>
    <w:rsid w:val="002E3C17"/>
    <w:rsid w:val="002F4F70"/>
    <w:rsid w:val="002F50D0"/>
    <w:rsid w:val="002F788C"/>
    <w:rsid w:val="002F7975"/>
    <w:rsid w:val="002F7FD7"/>
    <w:rsid w:val="003032F9"/>
    <w:rsid w:val="00304F9F"/>
    <w:rsid w:val="00305A63"/>
    <w:rsid w:val="00310FBB"/>
    <w:rsid w:val="00312B8D"/>
    <w:rsid w:val="00315532"/>
    <w:rsid w:val="00315C1D"/>
    <w:rsid w:val="00316875"/>
    <w:rsid w:val="0032265A"/>
    <w:rsid w:val="003229E6"/>
    <w:rsid w:val="00330B8E"/>
    <w:rsid w:val="00330E97"/>
    <w:rsid w:val="00332000"/>
    <w:rsid w:val="003353A1"/>
    <w:rsid w:val="003419E9"/>
    <w:rsid w:val="003439E3"/>
    <w:rsid w:val="0035401C"/>
    <w:rsid w:val="00357396"/>
    <w:rsid w:val="00362E69"/>
    <w:rsid w:val="00363885"/>
    <w:rsid w:val="0036705F"/>
    <w:rsid w:val="00367416"/>
    <w:rsid w:val="0037399B"/>
    <w:rsid w:val="00375B63"/>
    <w:rsid w:val="00375C7A"/>
    <w:rsid w:val="00383168"/>
    <w:rsid w:val="0038439D"/>
    <w:rsid w:val="003852F5"/>
    <w:rsid w:val="003865F0"/>
    <w:rsid w:val="00391686"/>
    <w:rsid w:val="00395DC1"/>
    <w:rsid w:val="003975CB"/>
    <w:rsid w:val="003A154E"/>
    <w:rsid w:val="003A1ED1"/>
    <w:rsid w:val="003A1F50"/>
    <w:rsid w:val="003A506B"/>
    <w:rsid w:val="003B15E7"/>
    <w:rsid w:val="003B1BDA"/>
    <w:rsid w:val="003B3968"/>
    <w:rsid w:val="003B49C4"/>
    <w:rsid w:val="003B5509"/>
    <w:rsid w:val="003B5A90"/>
    <w:rsid w:val="003B641F"/>
    <w:rsid w:val="003B7C66"/>
    <w:rsid w:val="003C47CD"/>
    <w:rsid w:val="003C620F"/>
    <w:rsid w:val="003D1744"/>
    <w:rsid w:val="003D1798"/>
    <w:rsid w:val="003D2E14"/>
    <w:rsid w:val="003D30C7"/>
    <w:rsid w:val="003D5C0C"/>
    <w:rsid w:val="003E3B31"/>
    <w:rsid w:val="003E453F"/>
    <w:rsid w:val="003E74EA"/>
    <w:rsid w:val="003F07D8"/>
    <w:rsid w:val="003F30DF"/>
    <w:rsid w:val="003F6701"/>
    <w:rsid w:val="00402FE0"/>
    <w:rsid w:val="004045B6"/>
    <w:rsid w:val="004060C6"/>
    <w:rsid w:val="00407629"/>
    <w:rsid w:val="00411E03"/>
    <w:rsid w:val="00424E1E"/>
    <w:rsid w:val="004370EF"/>
    <w:rsid w:val="00440539"/>
    <w:rsid w:val="00441000"/>
    <w:rsid w:val="00447EDA"/>
    <w:rsid w:val="0045340A"/>
    <w:rsid w:val="00453C40"/>
    <w:rsid w:val="0045704C"/>
    <w:rsid w:val="0045733E"/>
    <w:rsid w:val="00461407"/>
    <w:rsid w:val="0046691B"/>
    <w:rsid w:val="00476FFA"/>
    <w:rsid w:val="00477C7F"/>
    <w:rsid w:val="00477F0E"/>
    <w:rsid w:val="004820A4"/>
    <w:rsid w:val="0049324F"/>
    <w:rsid w:val="004A056D"/>
    <w:rsid w:val="004A23E2"/>
    <w:rsid w:val="004A27EA"/>
    <w:rsid w:val="004A49B4"/>
    <w:rsid w:val="004B03B5"/>
    <w:rsid w:val="004B230D"/>
    <w:rsid w:val="004B3E34"/>
    <w:rsid w:val="004B7721"/>
    <w:rsid w:val="004C206A"/>
    <w:rsid w:val="004C3D2B"/>
    <w:rsid w:val="004D003F"/>
    <w:rsid w:val="004D2CD4"/>
    <w:rsid w:val="004D3A94"/>
    <w:rsid w:val="004D3DB0"/>
    <w:rsid w:val="004D57DD"/>
    <w:rsid w:val="004E31DF"/>
    <w:rsid w:val="004E43D3"/>
    <w:rsid w:val="004E4A0D"/>
    <w:rsid w:val="004F67DB"/>
    <w:rsid w:val="005004C1"/>
    <w:rsid w:val="0050102A"/>
    <w:rsid w:val="005027BB"/>
    <w:rsid w:val="00502C72"/>
    <w:rsid w:val="0050344F"/>
    <w:rsid w:val="005048AE"/>
    <w:rsid w:val="00506432"/>
    <w:rsid w:val="0050792B"/>
    <w:rsid w:val="0051142A"/>
    <w:rsid w:val="00512A31"/>
    <w:rsid w:val="005138BE"/>
    <w:rsid w:val="00514AD0"/>
    <w:rsid w:val="00514BDB"/>
    <w:rsid w:val="00517054"/>
    <w:rsid w:val="005171FA"/>
    <w:rsid w:val="005235A5"/>
    <w:rsid w:val="005255CD"/>
    <w:rsid w:val="0053252E"/>
    <w:rsid w:val="0053597E"/>
    <w:rsid w:val="00536369"/>
    <w:rsid w:val="00536AB0"/>
    <w:rsid w:val="0054225F"/>
    <w:rsid w:val="00542A1E"/>
    <w:rsid w:val="005437EA"/>
    <w:rsid w:val="00544055"/>
    <w:rsid w:val="005460AB"/>
    <w:rsid w:val="00554F36"/>
    <w:rsid w:val="005552AF"/>
    <w:rsid w:val="00560449"/>
    <w:rsid w:val="005618DF"/>
    <w:rsid w:val="005776E8"/>
    <w:rsid w:val="00584576"/>
    <w:rsid w:val="00585801"/>
    <w:rsid w:val="00592902"/>
    <w:rsid w:val="00595556"/>
    <w:rsid w:val="005A25B2"/>
    <w:rsid w:val="005A2AA1"/>
    <w:rsid w:val="005A52CF"/>
    <w:rsid w:val="005B2080"/>
    <w:rsid w:val="005B3671"/>
    <w:rsid w:val="005B52A5"/>
    <w:rsid w:val="005B5C57"/>
    <w:rsid w:val="005B7EED"/>
    <w:rsid w:val="005B7F06"/>
    <w:rsid w:val="005C0E5B"/>
    <w:rsid w:val="005C22F0"/>
    <w:rsid w:val="005C4AE4"/>
    <w:rsid w:val="005D0F4F"/>
    <w:rsid w:val="005D2F9E"/>
    <w:rsid w:val="005E0454"/>
    <w:rsid w:val="005E0E82"/>
    <w:rsid w:val="005E5D0D"/>
    <w:rsid w:val="005E74CE"/>
    <w:rsid w:val="0060461D"/>
    <w:rsid w:val="0060489A"/>
    <w:rsid w:val="00604972"/>
    <w:rsid w:val="00605EB8"/>
    <w:rsid w:val="00606D78"/>
    <w:rsid w:val="00607629"/>
    <w:rsid w:val="006118D3"/>
    <w:rsid w:val="00612C1E"/>
    <w:rsid w:val="006172CF"/>
    <w:rsid w:val="0061737D"/>
    <w:rsid w:val="0061795B"/>
    <w:rsid w:val="00623698"/>
    <w:rsid w:val="00624E47"/>
    <w:rsid w:val="00631602"/>
    <w:rsid w:val="0063530F"/>
    <w:rsid w:val="0064405D"/>
    <w:rsid w:val="00644624"/>
    <w:rsid w:val="00646CA6"/>
    <w:rsid w:val="0065136B"/>
    <w:rsid w:val="00651CA1"/>
    <w:rsid w:val="00652049"/>
    <w:rsid w:val="00655176"/>
    <w:rsid w:val="006601A4"/>
    <w:rsid w:val="00661B9A"/>
    <w:rsid w:val="0066362E"/>
    <w:rsid w:val="00665F76"/>
    <w:rsid w:val="006667B2"/>
    <w:rsid w:val="00666FB3"/>
    <w:rsid w:val="006713FD"/>
    <w:rsid w:val="0067733F"/>
    <w:rsid w:val="0068495B"/>
    <w:rsid w:val="00686C84"/>
    <w:rsid w:val="00687B08"/>
    <w:rsid w:val="00693510"/>
    <w:rsid w:val="006A5A87"/>
    <w:rsid w:val="006B29D2"/>
    <w:rsid w:val="006B30C4"/>
    <w:rsid w:val="006B7436"/>
    <w:rsid w:val="006C518D"/>
    <w:rsid w:val="006C5B46"/>
    <w:rsid w:val="006D07F4"/>
    <w:rsid w:val="006D10F9"/>
    <w:rsid w:val="006D562C"/>
    <w:rsid w:val="006E034E"/>
    <w:rsid w:val="006E3224"/>
    <w:rsid w:val="006E4200"/>
    <w:rsid w:val="006F0692"/>
    <w:rsid w:val="006F6C97"/>
    <w:rsid w:val="00700AAD"/>
    <w:rsid w:val="00711EDE"/>
    <w:rsid w:val="007149D7"/>
    <w:rsid w:val="0071685A"/>
    <w:rsid w:val="007170DF"/>
    <w:rsid w:val="00727DA9"/>
    <w:rsid w:val="0073185E"/>
    <w:rsid w:val="00731A93"/>
    <w:rsid w:val="0073385C"/>
    <w:rsid w:val="00734DCA"/>
    <w:rsid w:val="0073621C"/>
    <w:rsid w:val="00744A03"/>
    <w:rsid w:val="00747D88"/>
    <w:rsid w:val="00750139"/>
    <w:rsid w:val="00750C9A"/>
    <w:rsid w:val="00750EB6"/>
    <w:rsid w:val="0075261E"/>
    <w:rsid w:val="00756C93"/>
    <w:rsid w:val="00757828"/>
    <w:rsid w:val="00762D62"/>
    <w:rsid w:val="00766246"/>
    <w:rsid w:val="00770505"/>
    <w:rsid w:val="0077265D"/>
    <w:rsid w:val="0077339B"/>
    <w:rsid w:val="00776971"/>
    <w:rsid w:val="00776D66"/>
    <w:rsid w:val="00781E00"/>
    <w:rsid w:val="00785615"/>
    <w:rsid w:val="00786E59"/>
    <w:rsid w:val="00791E07"/>
    <w:rsid w:val="00795714"/>
    <w:rsid w:val="00795B80"/>
    <w:rsid w:val="007B1839"/>
    <w:rsid w:val="007B2046"/>
    <w:rsid w:val="007B4C6C"/>
    <w:rsid w:val="007B56F3"/>
    <w:rsid w:val="007B72B3"/>
    <w:rsid w:val="007B7882"/>
    <w:rsid w:val="007C2E41"/>
    <w:rsid w:val="007C36E6"/>
    <w:rsid w:val="007C3976"/>
    <w:rsid w:val="007D085A"/>
    <w:rsid w:val="007D74DD"/>
    <w:rsid w:val="007E4B66"/>
    <w:rsid w:val="007E5825"/>
    <w:rsid w:val="007F1FE6"/>
    <w:rsid w:val="007F3408"/>
    <w:rsid w:val="00804BAC"/>
    <w:rsid w:val="008050E9"/>
    <w:rsid w:val="008178DB"/>
    <w:rsid w:val="0083107A"/>
    <w:rsid w:val="00837DB0"/>
    <w:rsid w:val="00840E6A"/>
    <w:rsid w:val="008442F5"/>
    <w:rsid w:val="00846E0E"/>
    <w:rsid w:val="00847539"/>
    <w:rsid w:val="00847F72"/>
    <w:rsid w:val="00856BC7"/>
    <w:rsid w:val="00857585"/>
    <w:rsid w:val="0086084A"/>
    <w:rsid w:val="00861D25"/>
    <w:rsid w:val="00865216"/>
    <w:rsid w:val="00866A51"/>
    <w:rsid w:val="00867116"/>
    <w:rsid w:val="00872B4B"/>
    <w:rsid w:val="00880B00"/>
    <w:rsid w:val="00892CAC"/>
    <w:rsid w:val="008A3019"/>
    <w:rsid w:val="008A5DE6"/>
    <w:rsid w:val="008A6841"/>
    <w:rsid w:val="008B0C34"/>
    <w:rsid w:val="008B23B1"/>
    <w:rsid w:val="008B4E26"/>
    <w:rsid w:val="008C352F"/>
    <w:rsid w:val="008C6CD1"/>
    <w:rsid w:val="008C77A0"/>
    <w:rsid w:val="008D29C1"/>
    <w:rsid w:val="008D2D45"/>
    <w:rsid w:val="008D6C9E"/>
    <w:rsid w:val="008D79C1"/>
    <w:rsid w:val="008E2964"/>
    <w:rsid w:val="008E2D2B"/>
    <w:rsid w:val="008E2D4E"/>
    <w:rsid w:val="008F1863"/>
    <w:rsid w:val="008F1B40"/>
    <w:rsid w:val="008F25AF"/>
    <w:rsid w:val="0090209D"/>
    <w:rsid w:val="00903254"/>
    <w:rsid w:val="00903EC5"/>
    <w:rsid w:val="00906BDC"/>
    <w:rsid w:val="00911F03"/>
    <w:rsid w:val="009120A4"/>
    <w:rsid w:val="009121A5"/>
    <w:rsid w:val="00912B92"/>
    <w:rsid w:val="009131EB"/>
    <w:rsid w:val="00914D89"/>
    <w:rsid w:val="00917EB5"/>
    <w:rsid w:val="00921964"/>
    <w:rsid w:val="00922718"/>
    <w:rsid w:val="00927B6F"/>
    <w:rsid w:val="00930E51"/>
    <w:rsid w:val="00931C96"/>
    <w:rsid w:val="00937773"/>
    <w:rsid w:val="00937AE9"/>
    <w:rsid w:val="00937BA4"/>
    <w:rsid w:val="00942631"/>
    <w:rsid w:val="00943635"/>
    <w:rsid w:val="00944AAF"/>
    <w:rsid w:val="009451D2"/>
    <w:rsid w:val="00953B31"/>
    <w:rsid w:val="00955089"/>
    <w:rsid w:val="00961FC0"/>
    <w:rsid w:val="0097104A"/>
    <w:rsid w:val="00971CAE"/>
    <w:rsid w:val="00972074"/>
    <w:rsid w:val="009769CB"/>
    <w:rsid w:val="009931A2"/>
    <w:rsid w:val="009948BE"/>
    <w:rsid w:val="009A57CB"/>
    <w:rsid w:val="009A7783"/>
    <w:rsid w:val="009B1948"/>
    <w:rsid w:val="009B31C4"/>
    <w:rsid w:val="009B360A"/>
    <w:rsid w:val="009B39AD"/>
    <w:rsid w:val="009B5BD7"/>
    <w:rsid w:val="009B7CC8"/>
    <w:rsid w:val="009C2F24"/>
    <w:rsid w:val="009C3A54"/>
    <w:rsid w:val="009C5234"/>
    <w:rsid w:val="009C7718"/>
    <w:rsid w:val="009D000F"/>
    <w:rsid w:val="009D0BBB"/>
    <w:rsid w:val="009E455C"/>
    <w:rsid w:val="009E53D1"/>
    <w:rsid w:val="009E5CF4"/>
    <w:rsid w:val="009E734C"/>
    <w:rsid w:val="009F0259"/>
    <w:rsid w:val="009F40C4"/>
    <w:rsid w:val="009F5A68"/>
    <w:rsid w:val="00A11D6A"/>
    <w:rsid w:val="00A22772"/>
    <w:rsid w:val="00A364E4"/>
    <w:rsid w:val="00A373CD"/>
    <w:rsid w:val="00A40D67"/>
    <w:rsid w:val="00A5085E"/>
    <w:rsid w:val="00A518B3"/>
    <w:rsid w:val="00A55DF0"/>
    <w:rsid w:val="00A608B6"/>
    <w:rsid w:val="00A611AF"/>
    <w:rsid w:val="00A61489"/>
    <w:rsid w:val="00A622D5"/>
    <w:rsid w:val="00A650A3"/>
    <w:rsid w:val="00A6597E"/>
    <w:rsid w:val="00A66E02"/>
    <w:rsid w:val="00A7354E"/>
    <w:rsid w:val="00A757E1"/>
    <w:rsid w:val="00A76602"/>
    <w:rsid w:val="00A77D34"/>
    <w:rsid w:val="00A800AD"/>
    <w:rsid w:val="00A80F74"/>
    <w:rsid w:val="00A81828"/>
    <w:rsid w:val="00A84A10"/>
    <w:rsid w:val="00A84CCB"/>
    <w:rsid w:val="00A910E4"/>
    <w:rsid w:val="00A93E79"/>
    <w:rsid w:val="00A95F9E"/>
    <w:rsid w:val="00AA1352"/>
    <w:rsid w:val="00AB4A40"/>
    <w:rsid w:val="00AB7B3A"/>
    <w:rsid w:val="00AC4F6D"/>
    <w:rsid w:val="00AD4F28"/>
    <w:rsid w:val="00AD5785"/>
    <w:rsid w:val="00AD652E"/>
    <w:rsid w:val="00AD7500"/>
    <w:rsid w:val="00AE19C7"/>
    <w:rsid w:val="00AE2FAB"/>
    <w:rsid w:val="00AE6098"/>
    <w:rsid w:val="00AF6309"/>
    <w:rsid w:val="00B00A80"/>
    <w:rsid w:val="00B0147B"/>
    <w:rsid w:val="00B026BE"/>
    <w:rsid w:val="00B05FF1"/>
    <w:rsid w:val="00B10C99"/>
    <w:rsid w:val="00B11451"/>
    <w:rsid w:val="00B1203C"/>
    <w:rsid w:val="00B25C3A"/>
    <w:rsid w:val="00B26B46"/>
    <w:rsid w:val="00B431AB"/>
    <w:rsid w:val="00B51BA5"/>
    <w:rsid w:val="00B52E4D"/>
    <w:rsid w:val="00B5325B"/>
    <w:rsid w:val="00B556B2"/>
    <w:rsid w:val="00B62699"/>
    <w:rsid w:val="00B63F1B"/>
    <w:rsid w:val="00B675FB"/>
    <w:rsid w:val="00B71395"/>
    <w:rsid w:val="00B76A9C"/>
    <w:rsid w:val="00B83FCE"/>
    <w:rsid w:val="00B86FF8"/>
    <w:rsid w:val="00B90587"/>
    <w:rsid w:val="00B96BCF"/>
    <w:rsid w:val="00BA0092"/>
    <w:rsid w:val="00BA206C"/>
    <w:rsid w:val="00BA25C8"/>
    <w:rsid w:val="00BA3EFD"/>
    <w:rsid w:val="00BA5E99"/>
    <w:rsid w:val="00BB0EEE"/>
    <w:rsid w:val="00BB264D"/>
    <w:rsid w:val="00BB410C"/>
    <w:rsid w:val="00BB509F"/>
    <w:rsid w:val="00BC2C08"/>
    <w:rsid w:val="00BC4157"/>
    <w:rsid w:val="00BC41EE"/>
    <w:rsid w:val="00BC533E"/>
    <w:rsid w:val="00BC795D"/>
    <w:rsid w:val="00BD0991"/>
    <w:rsid w:val="00BD2A18"/>
    <w:rsid w:val="00BD4513"/>
    <w:rsid w:val="00BD5A5D"/>
    <w:rsid w:val="00BE06AE"/>
    <w:rsid w:val="00BE3CE3"/>
    <w:rsid w:val="00BE7C6D"/>
    <w:rsid w:val="00BF04B6"/>
    <w:rsid w:val="00BF1ECD"/>
    <w:rsid w:val="00BF2EE3"/>
    <w:rsid w:val="00BF6916"/>
    <w:rsid w:val="00C02527"/>
    <w:rsid w:val="00C026B0"/>
    <w:rsid w:val="00C02C0A"/>
    <w:rsid w:val="00C031AD"/>
    <w:rsid w:val="00C03A98"/>
    <w:rsid w:val="00C06AE4"/>
    <w:rsid w:val="00C07B91"/>
    <w:rsid w:val="00C07D2A"/>
    <w:rsid w:val="00C176F8"/>
    <w:rsid w:val="00C206BD"/>
    <w:rsid w:val="00C213DD"/>
    <w:rsid w:val="00C30016"/>
    <w:rsid w:val="00C309AD"/>
    <w:rsid w:val="00C33C7B"/>
    <w:rsid w:val="00C3405C"/>
    <w:rsid w:val="00C348A9"/>
    <w:rsid w:val="00C3494F"/>
    <w:rsid w:val="00C34C6D"/>
    <w:rsid w:val="00C3556C"/>
    <w:rsid w:val="00C45E95"/>
    <w:rsid w:val="00C517DC"/>
    <w:rsid w:val="00C52A7C"/>
    <w:rsid w:val="00C662D1"/>
    <w:rsid w:val="00C66692"/>
    <w:rsid w:val="00C70BAA"/>
    <w:rsid w:val="00C7358E"/>
    <w:rsid w:val="00C829C4"/>
    <w:rsid w:val="00C861C1"/>
    <w:rsid w:val="00C91550"/>
    <w:rsid w:val="00C92575"/>
    <w:rsid w:val="00C97FA5"/>
    <w:rsid w:val="00CA00DB"/>
    <w:rsid w:val="00CA0381"/>
    <w:rsid w:val="00CA24D8"/>
    <w:rsid w:val="00CA3322"/>
    <w:rsid w:val="00CA527C"/>
    <w:rsid w:val="00CA6147"/>
    <w:rsid w:val="00CA649C"/>
    <w:rsid w:val="00CB14A5"/>
    <w:rsid w:val="00CB4231"/>
    <w:rsid w:val="00CB5026"/>
    <w:rsid w:val="00CB5A2C"/>
    <w:rsid w:val="00CB65C2"/>
    <w:rsid w:val="00CC519A"/>
    <w:rsid w:val="00CD018F"/>
    <w:rsid w:val="00CD1793"/>
    <w:rsid w:val="00CD3B3A"/>
    <w:rsid w:val="00CD4F60"/>
    <w:rsid w:val="00CE153A"/>
    <w:rsid w:val="00CE3F9F"/>
    <w:rsid w:val="00CE5284"/>
    <w:rsid w:val="00CF06BA"/>
    <w:rsid w:val="00CF204E"/>
    <w:rsid w:val="00CF2F21"/>
    <w:rsid w:val="00CF4C97"/>
    <w:rsid w:val="00D02293"/>
    <w:rsid w:val="00D045BC"/>
    <w:rsid w:val="00D070F1"/>
    <w:rsid w:val="00D074FE"/>
    <w:rsid w:val="00D16252"/>
    <w:rsid w:val="00D1692C"/>
    <w:rsid w:val="00D17605"/>
    <w:rsid w:val="00D212B3"/>
    <w:rsid w:val="00D22F89"/>
    <w:rsid w:val="00D23561"/>
    <w:rsid w:val="00D26482"/>
    <w:rsid w:val="00D266FA"/>
    <w:rsid w:val="00D33F1D"/>
    <w:rsid w:val="00D376E8"/>
    <w:rsid w:val="00D378B0"/>
    <w:rsid w:val="00D462DA"/>
    <w:rsid w:val="00D46D96"/>
    <w:rsid w:val="00D51952"/>
    <w:rsid w:val="00D56709"/>
    <w:rsid w:val="00D62797"/>
    <w:rsid w:val="00D65B8E"/>
    <w:rsid w:val="00D7252B"/>
    <w:rsid w:val="00D74449"/>
    <w:rsid w:val="00D804D4"/>
    <w:rsid w:val="00D854E3"/>
    <w:rsid w:val="00D8695C"/>
    <w:rsid w:val="00D97548"/>
    <w:rsid w:val="00DA564A"/>
    <w:rsid w:val="00DB10C7"/>
    <w:rsid w:val="00DB400C"/>
    <w:rsid w:val="00DB4BF3"/>
    <w:rsid w:val="00DC0BE5"/>
    <w:rsid w:val="00DC4B46"/>
    <w:rsid w:val="00DD0B31"/>
    <w:rsid w:val="00DD1EB5"/>
    <w:rsid w:val="00DD2533"/>
    <w:rsid w:val="00DD3C7C"/>
    <w:rsid w:val="00DE2B06"/>
    <w:rsid w:val="00DE7924"/>
    <w:rsid w:val="00DF310F"/>
    <w:rsid w:val="00DF43AA"/>
    <w:rsid w:val="00DF5A0B"/>
    <w:rsid w:val="00E001D2"/>
    <w:rsid w:val="00E01248"/>
    <w:rsid w:val="00E023EB"/>
    <w:rsid w:val="00E0463E"/>
    <w:rsid w:val="00E06D65"/>
    <w:rsid w:val="00E07760"/>
    <w:rsid w:val="00E11A1B"/>
    <w:rsid w:val="00E152A3"/>
    <w:rsid w:val="00E1615E"/>
    <w:rsid w:val="00E16EEF"/>
    <w:rsid w:val="00E23765"/>
    <w:rsid w:val="00E329EA"/>
    <w:rsid w:val="00E33280"/>
    <w:rsid w:val="00E35724"/>
    <w:rsid w:val="00E375A3"/>
    <w:rsid w:val="00E40010"/>
    <w:rsid w:val="00E40617"/>
    <w:rsid w:val="00E43EAA"/>
    <w:rsid w:val="00E442BA"/>
    <w:rsid w:val="00E4445C"/>
    <w:rsid w:val="00E44DE7"/>
    <w:rsid w:val="00E47668"/>
    <w:rsid w:val="00E50312"/>
    <w:rsid w:val="00E50964"/>
    <w:rsid w:val="00E5131B"/>
    <w:rsid w:val="00E51767"/>
    <w:rsid w:val="00E537E5"/>
    <w:rsid w:val="00E56757"/>
    <w:rsid w:val="00E602EE"/>
    <w:rsid w:val="00E71306"/>
    <w:rsid w:val="00E71BFA"/>
    <w:rsid w:val="00E742ED"/>
    <w:rsid w:val="00E7453C"/>
    <w:rsid w:val="00E74D70"/>
    <w:rsid w:val="00E773B7"/>
    <w:rsid w:val="00E85768"/>
    <w:rsid w:val="00E959D0"/>
    <w:rsid w:val="00EA57EC"/>
    <w:rsid w:val="00EA7AFD"/>
    <w:rsid w:val="00EB44DC"/>
    <w:rsid w:val="00EC4597"/>
    <w:rsid w:val="00ED2C31"/>
    <w:rsid w:val="00ED7E9B"/>
    <w:rsid w:val="00EE5FA5"/>
    <w:rsid w:val="00EE70DB"/>
    <w:rsid w:val="00EF37A9"/>
    <w:rsid w:val="00EF678C"/>
    <w:rsid w:val="00F0056E"/>
    <w:rsid w:val="00F014BB"/>
    <w:rsid w:val="00F02075"/>
    <w:rsid w:val="00F03B90"/>
    <w:rsid w:val="00F0702D"/>
    <w:rsid w:val="00F07519"/>
    <w:rsid w:val="00F077F8"/>
    <w:rsid w:val="00F13A27"/>
    <w:rsid w:val="00F14FC6"/>
    <w:rsid w:val="00F1626B"/>
    <w:rsid w:val="00F219D3"/>
    <w:rsid w:val="00F2521D"/>
    <w:rsid w:val="00F27E85"/>
    <w:rsid w:val="00F3636C"/>
    <w:rsid w:val="00F369B6"/>
    <w:rsid w:val="00F370C8"/>
    <w:rsid w:val="00F433EF"/>
    <w:rsid w:val="00F43C0A"/>
    <w:rsid w:val="00F45709"/>
    <w:rsid w:val="00F52672"/>
    <w:rsid w:val="00F53B56"/>
    <w:rsid w:val="00F5447D"/>
    <w:rsid w:val="00F54551"/>
    <w:rsid w:val="00F561C1"/>
    <w:rsid w:val="00F57EE4"/>
    <w:rsid w:val="00F6517D"/>
    <w:rsid w:val="00F7109C"/>
    <w:rsid w:val="00F75D19"/>
    <w:rsid w:val="00F7701A"/>
    <w:rsid w:val="00F80A7E"/>
    <w:rsid w:val="00F81937"/>
    <w:rsid w:val="00F919E8"/>
    <w:rsid w:val="00FA0D62"/>
    <w:rsid w:val="00FB6BD3"/>
    <w:rsid w:val="00FD78D4"/>
    <w:rsid w:val="00FD7956"/>
    <w:rsid w:val="00FE059C"/>
    <w:rsid w:val="00FE274C"/>
    <w:rsid w:val="00FE4EE6"/>
    <w:rsid w:val="00FE5289"/>
    <w:rsid w:val="00FE6962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EB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43BC7-8704-45F0-90DF-C77297BA9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47F0F-7860-4FC8-9037-EF6A9609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2023-03-22T08:23:00Z</dcterms:created>
  <dcterms:modified xsi:type="dcterms:W3CDTF">2023-03-22T08:23:00Z</dcterms:modified>
</cp:coreProperties>
</file>