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1190700342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</w:t>
      </w:r>
      <w:r>
        <w:rPr>
          <w:spacing w:val="-2"/>
        </w:rPr>
        <w:t> </w:t>
      </w:r>
      <w:r>
        <w:rPr/>
        <w:t>škola</w:t>
      </w:r>
      <w:r>
        <w:rPr>
          <w:spacing w:val="-4"/>
        </w:rPr>
        <w:t> </w:t>
      </w:r>
      <w:r>
        <w:rPr/>
        <w:t>Pozořice,</w:t>
      </w:r>
      <w:r>
        <w:rPr>
          <w:spacing w:val="-5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U</w:t>
      </w:r>
      <w:r>
        <w:rPr>
          <w:spacing w:val="-3"/>
        </w:rPr>
        <w:t> </w:t>
      </w:r>
      <w:r>
        <w:rPr/>
        <w:t>školy</w:t>
      </w:r>
      <w:r>
        <w:rPr>
          <w:spacing w:val="-4"/>
        </w:rPr>
        <w:t> </w:t>
      </w:r>
      <w:r>
        <w:rPr/>
        <w:t>386,</w:t>
      </w:r>
      <w:r>
        <w:rPr>
          <w:spacing w:val="-3"/>
        </w:rPr>
        <w:t> </w:t>
      </w:r>
      <w:r>
        <w:rPr/>
        <w:t>664 07</w:t>
      </w:r>
      <w:r>
        <w:rPr>
          <w:spacing w:val="-2"/>
        </w:rPr>
        <w:t> </w:t>
      </w:r>
      <w:r>
        <w:rPr/>
        <w:t>Pozořice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49459724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Janem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d k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Fio</w:t>
      </w:r>
      <w:r>
        <w:rPr>
          <w:spacing w:val="-2"/>
        </w:rPr>
        <w:t> </w:t>
      </w:r>
      <w:r>
        <w:rPr/>
        <w:t>banka,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2000155677/2010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1190700342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9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60" w:right="0"/>
        <w:jc w:val="left"/>
      </w:pPr>
      <w:r>
        <w:rPr/>
        <w:t>„Školní</w:t>
      </w:r>
      <w:r>
        <w:rPr>
          <w:spacing w:val="-3"/>
        </w:rPr>
        <w:t> </w:t>
      </w:r>
      <w:r>
        <w:rPr/>
        <w:t>zahrada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Pozořicích</w:t>
      </w:r>
      <w:r>
        <w:rPr>
          <w:spacing w:val="-3"/>
        </w:rPr>
        <w:t> </w:t>
      </w:r>
      <w:r>
        <w:rPr/>
        <w:t>jako</w:t>
      </w:r>
      <w:r>
        <w:rPr>
          <w:spacing w:val="-2"/>
        </w:rPr>
        <w:t> </w:t>
      </w:r>
      <w:r>
        <w:rPr/>
        <w:t>přírodní</w:t>
      </w:r>
      <w:r>
        <w:rPr>
          <w:spacing w:val="-3"/>
        </w:rPr>
        <w:t> </w:t>
      </w:r>
      <w:r>
        <w:rPr/>
        <w:t>učebna“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2019</w:t>
      </w:r>
      <w:r>
        <w:rPr>
          <w:spacing w:val="-1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391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368,32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osm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460</w:t>
      </w:r>
      <w:r>
        <w:rPr>
          <w:spacing w:val="-1"/>
          <w:sz w:val="20"/>
        </w:rPr>
        <w:t> </w:t>
      </w:r>
      <w:r>
        <w:rPr>
          <w:sz w:val="20"/>
        </w:rPr>
        <w:t>433,32</w:t>
      </w:r>
      <w:r>
        <w:rPr>
          <w:spacing w:val="-8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90</w:t>
      </w:r>
      <w:r>
        <w:rPr>
          <w:spacing w:val="-1"/>
          <w:sz w:val="20"/>
        </w:rPr>
        <w:t> </w:t>
      </w:r>
      <w:r>
        <w:rPr>
          <w:sz w:val="20"/>
        </w:rPr>
        <w:t>000,00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370</w:t>
      </w:r>
      <w:r>
        <w:rPr>
          <w:spacing w:val="-1"/>
          <w:sz w:val="20"/>
        </w:rPr>
        <w:t> </w:t>
      </w:r>
      <w:r>
        <w:rPr>
          <w:sz w:val="20"/>
        </w:rPr>
        <w:t>433,32 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8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8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368,32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4"/>
          <w:sz w:val="20"/>
        </w:rPr>
        <w:t> </w:t>
      </w:r>
      <w:r>
        <w:rPr>
          <w:sz w:val="20"/>
        </w:rPr>
        <w:t>ČR“)</w:t>
      </w:r>
      <w:r>
        <w:rPr>
          <w:spacing w:val="2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každou</w:t>
      </w:r>
      <w:r>
        <w:rPr>
          <w:spacing w:val="26"/>
          <w:sz w:val="20"/>
        </w:rPr>
        <w:t> </w:t>
      </w:r>
      <w:r>
        <w:rPr>
          <w:sz w:val="20"/>
        </w:rPr>
        <w:t>žádostí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26"/>
          <w:sz w:val="20"/>
        </w:rPr>
        <w:t> </w:t>
      </w:r>
      <w:r>
        <w:rPr>
          <w:sz w:val="20"/>
        </w:rPr>
        <w:t>finančních</w:t>
      </w:r>
      <w:r>
        <w:rPr>
          <w:spacing w:val="25"/>
          <w:sz w:val="20"/>
        </w:rPr>
        <w:t> </w:t>
      </w:r>
      <w:r>
        <w:rPr>
          <w:sz w:val="20"/>
        </w:rPr>
        <w:t>prostředků,</w:t>
      </w:r>
      <w:r>
        <w:rPr>
          <w:spacing w:val="26"/>
          <w:sz w:val="20"/>
        </w:rPr>
        <w:t> </w:t>
      </w:r>
      <w:r>
        <w:rPr>
          <w:sz w:val="20"/>
        </w:rPr>
        <w:t>(bod</w:t>
      </w:r>
      <w:r>
        <w:rPr>
          <w:spacing w:val="26"/>
          <w:sz w:val="20"/>
        </w:rPr>
        <w:t> </w:t>
      </w:r>
      <w:r>
        <w:rPr>
          <w:sz w:val="20"/>
        </w:rPr>
        <w:t>11),</w:t>
      </w:r>
      <w:r>
        <w:rPr>
          <w:spacing w:val="25"/>
          <w:sz w:val="20"/>
        </w:rPr>
        <w:t> </w:t>
      </w:r>
      <w:r>
        <w:rPr>
          <w:sz w:val="20"/>
        </w:rPr>
        <w:t>příslušné</w:t>
      </w:r>
      <w:r>
        <w:rPr>
          <w:spacing w:val="25"/>
          <w:sz w:val="20"/>
        </w:rPr>
        <w:t> </w:t>
      </w:r>
      <w:r>
        <w:rPr>
          <w:sz w:val="20"/>
        </w:rPr>
        <w:t>doklady</w:t>
      </w:r>
      <w:r>
        <w:rPr>
          <w:spacing w:val="25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BodyText"/>
        <w:spacing w:before="73"/>
        <w:ind w:firstLine="0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7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2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byla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odsouhlasené</w:t>
      </w:r>
      <w:r>
        <w:rPr>
          <w:spacing w:val="1"/>
          <w:sz w:val="20"/>
        </w:rPr>
        <w:t> </w:t>
      </w:r>
      <w:r>
        <w:rPr>
          <w:sz w:val="20"/>
        </w:rPr>
        <w:t>projektové</w:t>
      </w:r>
      <w:r>
        <w:rPr>
          <w:spacing w:val="1"/>
          <w:sz w:val="20"/>
        </w:rPr>
        <w:t> </w:t>
      </w:r>
      <w:r>
        <w:rPr>
          <w:sz w:val="20"/>
        </w:rPr>
        <w:t>dokumentace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„Školní</w:t>
      </w:r>
      <w:r>
        <w:rPr>
          <w:spacing w:val="1"/>
          <w:sz w:val="20"/>
        </w:rPr>
        <w:t> </w:t>
      </w:r>
      <w:r>
        <w:rPr>
          <w:sz w:val="20"/>
        </w:rPr>
        <w:t>zahrada v Pozořicích jako přírodní učebna“ ze dne 3. 2. 2020, včetně případných změn a doplňků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1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7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období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11/2019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12/2022</w:t>
      </w:r>
      <w:r>
        <w:rPr>
          <w:spacing w:val="-2"/>
          <w:sz w:val="20"/>
        </w:rPr>
        <w:t> </w:t>
      </w:r>
      <w:r>
        <w:rPr>
          <w:sz w:val="20"/>
        </w:rPr>
        <w:t>pořídil</w:t>
      </w:r>
      <w:r>
        <w:rPr>
          <w:spacing w:val="-4"/>
          <w:sz w:val="20"/>
        </w:rPr>
        <w:t> </w:t>
      </w:r>
      <w:r>
        <w:rPr>
          <w:sz w:val="20"/>
        </w:rPr>
        <w:t>předměty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aktualizovaném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53"/>
          <w:sz w:val="20"/>
        </w:rPr>
        <w:t> </w:t>
      </w:r>
      <w:r>
        <w:rPr>
          <w:sz w:val="20"/>
        </w:rPr>
        <w:t>dne 17. 2. 2023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9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1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 OPŽP</w:t>
      </w:r>
      <w:r>
        <w:rPr>
          <w:spacing w:val="-5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28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 sankce</w:t>
      </w:r>
    </w:p>
    <w:p>
      <w:pPr>
        <w:pStyle w:val="BodyText"/>
        <w:spacing w:before="2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5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5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</w:t>
      </w:r>
      <w:r>
        <w:rPr>
          <w:spacing w:val="1"/>
          <w:sz w:val="20"/>
        </w:rPr>
        <w:t> </w:t>
      </w:r>
      <w:r>
        <w:rPr>
          <w:sz w:val="20"/>
        </w:rPr>
        <w:t>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 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 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4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1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2023-04-17T11:37:45Z</dcterms:created>
  <dcterms:modified xsi:type="dcterms:W3CDTF">2023-04-17T11:37:45Z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