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Česká republika - Státní pozemkový úřad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sídlo: Husinecká 1024/1 la, 130 00 Praha 3-Zižkov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302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zastoupený Ing. Miroslavem Kučerou, ředitelem Krajského pozemkového úřadu pro Pardubický kraj,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adresa Boženy Němcové 231, 530 02 Pardubice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IČO: 01312774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DIČ: CZ01312774^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bankovní spojení: Česká národní banka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číslo účtu: 160012-3723001/0710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(dále jen „Státní pozemkový úřad“)</w:t>
      </w:r>
    </w:p>
    <w:p>
      <w:pPr>
        <w:pStyle w:val="Style9"/>
        <w:numPr>
          <w:ilvl w:val="0"/>
          <w:numId w:val="1"/>
        </w:numPr>
        <w:tabs>
          <w:tab w:leader="none" w:pos="32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na straně jedné - a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rStyle w:val="CharStyle15"/>
          <w:b/>
          <w:bCs/>
        </w:rPr>
        <w:t>ALA,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a.s. Řepníky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sídlo: Řepníky 126, 53865 IČO: 474 68 513 DIČ: CZ47468513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zapsána v obchodním rejstříku vedeném Krajským soudem v Hradci Králové, oddíl B, vložka 889 </w:t>
      </w:r>
      <w:r>
        <w:rPr>
          <w:rStyle w:val="CharStyle16"/>
        </w:rPr>
        <w:t xml:space="preserve">osoba oprávněná jednat za právnickou osobu: Jan Dostál, předseda představenstva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(dále jen „uživatel</w:t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14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)</w:t>
      </w:r>
    </w:p>
    <w:p>
      <w:pPr>
        <w:pStyle w:val="Style9"/>
        <w:numPr>
          <w:ilvl w:val="0"/>
          <w:numId w:val="1"/>
        </w:numPr>
        <w:tabs>
          <w:tab w:leader="none" w:pos="32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na straně druhé -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23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uzavírají tuto</w:t>
      </w:r>
    </w:p>
    <w:p>
      <w:pPr>
        <w:pStyle w:val="Style17"/>
        <w:widowControl w:val="0"/>
        <w:keepNext/>
        <w:keepLines/>
        <w:shd w:val="clear" w:color="auto" w:fill="auto"/>
        <w:bidi w:val="0"/>
        <w:spacing w:before="0" w:after="0"/>
        <w:ind w:left="0" w:right="20" w:firstLine="0"/>
      </w:pPr>
      <w:bookmarkStart w:id="1" w:name="bookmark1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dohodu o zaplacení úhrady za užívání nemovité věci</w:t>
      </w:r>
      <w:bookmarkEnd w:id="1"/>
    </w:p>
    <w:p>
      <w:pPr>
        <w:pStyle w:val="Style17"/>
        <w:widowControl w:val="0"/>
        <w:keepNext/>
        <w:keepLines/>
        <w:shd w:val="clear" w:color="auto" w:fill="auto"/>
        <w:bidi w:val="0"/>
        <w:spacing w:before="0" w:after="250"/>
        <w:ind w:left="0" w:right="20" w:firstLine="0"/>
      </w:pPr>
      <w:bookmarkStart w:id="2" w:name="bookmark2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ě. 53 N 14/50 „B“</w:t>
      </w:r>
      <w:bookmarkEnd w:id="2"/>
    </w:p>
    <w:p>
      <w:pPr>
        <w:pStyle w:val="Style19"/>
        <w:widowControl w:val="0"/>
        <w:keepNext/>
        <w:keepLines/>
        <w:shd w:val="clear" w:color="auto" w:fill="auto"/>
        <w:bidi w:val="0"/>
        <w:spacing w:before="0" w:after="276"/>
        <w:ind w:left="0" w:right="20" w:firstLine="0"/>
      </w:pPr>
      <w:bookmarkStart w:id="3" w:name="bookmark3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i</w:t>
      </w:r>
      <w:bookmarkEnd w:id="3"/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Uživatel následujícího pozemku ve vlastnictví státu, se kterým je příslušný hospodařit Státní pozemkový úřad, zapsaný u Katastrálního úřadu pro Pardubický kraj, Katastrálního pracoviště Ústí nad Orlicí:</w:t>
      </w:r>
    </w:p>
    <w:tbl>
      <w:tblPr>
        <w:tblOverlap w:val="never"/>
        <w:tblLayout w:type="fixed"/>
        <w:jc w:val="center"/>
      </w:tblPr>
      <w:tblGrid>
        <w:gridCol w:w="1454"/>
        <w:gridCol w:w="1637"/>
        <w:gridCol w:w="1656"/>
        <w:gridCol w:w="965"/>
        <w:gridCol w:w="1517"/>
        <w:gridCol w:w="1930"/>
      </w:tblGrid>
      <w:tr>
        <w:trPr>
          <w:trHeight w:val="6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3"/>
              </w:rPr>
              <w:t>obec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3"/>
              </w:rPr>
              <w:t>kat. území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3"/>
              </w:rPr>
              <w:t>druh evidence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60" w:right="0" w:firstLine="0"/>
            </w:pPr>
            <w:r>
              <w:rPr>
                <w:rStyle w:val="CharStyle23"/>
              </w:rPr>
              <w:t>parcela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40" w:right="0" w:firstLine="0"/>
            </w:pPr>
            <w:r>
              <w:rPr>
                <w:rStyle w:val="CharStyle23"/>
              </w:rPr>
              <w:t>výměra m</w:t>
            </w:r>
            <w:r>
              <w:rPr>
                <w:rStyle w:val="CharStyle23"/>
                <w:vertAlign w:val="superscript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9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00" w:right="0" w:firstLine="0"/>
            </w:pPr>
            <w:r>
              <w:rPr>
                <w:rStyle w:val="CharStyle23"/>
              </w:rPr>
              <w:t>druh pozemku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23"/>
              </w:rPr>
              <w:t>Vysoké Mýto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00" w:right="0" w:firstLine="0"/>
            </w:pPr>
            <w:r>
              <w:rPr>
                <w:rStyle w:val="CharStyle23"/>
              </w:rPr>
              <w:t>Vysoké Mýto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3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60" w:right="0" w:firstLine="0"/>
            </w:pPr>
            <w:r>
              <w:rPr>
                <w:rStyle w:val="CharStyle23"/>
              </w:rPr>
              <w:t>4703/1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23"/>
              </w:rPr>
              <w:t>2779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3"/>
              </w:rPr>
              <w:t>orná půda</w:t>
            </w:r>
          </w:p>
        </w:tc>
      </w:tr>
    </w:tbl>
    <w:p>
      <w:pPr>
        <w:pStyle w:val="Style21"/>
        <w:framePr w:w="9158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(do 12.4. 2005 PK 2372)</w:t>
      </w:r>
    </w:p>
    <w:p>
      <w:pPr>
        <w:pStyle w:val="Style21"/>
        <w:framePr w:w="9158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se zavazuje za jeho užívání od 11. října 2003 do 5. dubna 2016 zaplatit Státnímu pozemkovému úřadu úhradu za užívání (dále jen ,,úhrada“).</w:t>
      </w:r>
    </w:p>
    <w:p>
      <w:pPr>
        <w:framePr w:w="915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4"/>
        <w:widowControl w:val="0"/>
        <w:keepNext/>
        <w:keepLines/>
        <w:shd w:val="clear" w:color="auto" w:fill="auto"/>
        <w:bidi w:val="0"/>
        <w:spacing w:before="321" w:after="276"/>
        <w:ind w:left="0" w:right="20" w:firstLine="0"/>
      </w:pPr>
      <w:bookmarkStart w:id="4" w:name="bookmark4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II</w:t>
      </w:r>
      <w:bookmarkEnd w:id="4"/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Roční úhrada za užívání pozemku specifikovaném v čl. I této dohody je stanovena Roční úhrada za užívání nemovité věci specifikované v čl. I této dohody je stanovena dohodou činí 366,- Kč (slovy: třistašedesátšest korun českých) za období od 11. října 2003 do 30. září 2014 a 806,- Kč (slovy: osmsetšest korun českých) za období od 1. října 2014 do 5. dubna 2016.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740" w:firstLine="7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Celková úhrada za období od 11. října 2003 do 5. dubna 2016 tedy činí </w:t>
      </w:r>
      <w:r>
        <w:rPr>
          <w:rStyle w:val="CharStyle26"/>
        </w:rPr>
        <w:t xml:space="preserve">4 022,- Kč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(slovy: čtyřitisícedvacetdva korun českých).</w:t>
      </w:r>
      <w:r>
        <w:br w:type="page"/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center"/>
        <w:spacing w:before="0" w:after="273"/>
        <w:ind w:left="0" w:right="22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Čl. </w:t>
      </w: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Ill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308" w:line="278" w:lineRule="exact"/>
        <w:ind w:left="660" w:right="0" w:firstLine="6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3.6pt;margin-top:65.5pt;width:32.65pt;height:16.35pt;z-index:-125829376;mso-wrap-distance-left:184.1pt;mso-wrap-distance-top:5.3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3"/>
                      <w:b/>
                      <w:bCs/>
                    </w:rPr>
                    <w:t>Čl. IV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Uživatel se zavazuje celkovou úhradu specifikovanou v čl. II této dohody, kterou tímto uznává co do důvodu a výše, zaplatit na účet Státního pozemkového úřadu vedený u České národní banky, číslo účtu 160012-3723001/0710 variabilní symbol: 5311450 nejpozději do 30. května 2016. Zaplacením se rozumí připsání placené částky na účet Státního pozemkového úřadu.</w:t>
      </w:r>
    </w:p>
    <w:p>
      <w:pPr>
        <w:pStyle w:val="Style9"/>
        <w:tabs>
          <w:tab w:leader="none" w:pos="879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20" w:line="269" w:lineRule="exact"/>
        <w:ind w:left="66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Další užívací vztahy k nemovitým věcem specifikovaným v čl. I. této dohody jsou řešeny v pachtovní smlouvě č. 53 N 14/50.</w:t>
        <w:tab/>
        <w:t>.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280"/>
        <w:ind w:left="0" w:right="220" w:firstLine="0"/>
      </w:pPr>
      <w:bookmarkStart w:id="5" w:name="bookmark5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Čl. V</w:t>
      </w:r>
      <w:bookmarkEnd w:id="5"/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320" w:line="269" w:lineRule="exact"/>
        <w:ind w:left="66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dohoda je vyhotovena ve dvou stejnopisech, z nichž každý má platnost originálu. Jeden stejnopis přebírá uživatel a jeden je určen pro Státní pozemkový úřad.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/>
        <w:ind w:left="0" w:right="220" w:firstLine="0"/>
      </w:pPr>
      <w:bookmarkStart w:id="6" w:name="bookmark6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Čl. VI</w:t>
      </w:r>
      <w:bookmarkEnd w:id="6"/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300"/>
        <w:ind w:left="66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dohoda nabývá platnosti a účinnosti dnem jejího podpisu smluvními stranami.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284"/>
        <w:ind w:left="0" w:right="220" w:firstLine="0"/>
      </w:pPr>
      <w:bookmarkStart w:id="7" w:name="bookmark7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Čl. VII</w:t>
      </w:r>
      <w:bookmarkEnd w:id="7"/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316" w:line="264" w:lineRule="exact"/>
        <w:ind w:left="66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po přečtení této dohody prohlašují, že s jejím obsahem souhlasí a že tato dohoda je shodným projevem jejich vážné a svobodné vůle, a na důkaz toho připojují své podpisy.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253"/>
        <w:ind w:left="66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 Pardubicích dne 6. dubna 2016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6620" w:firstLine="0"/>
      </w:pPr>
      <w:r>
        <w:rPr>
          <w:rStyle w:val="CharStyle30"/>
        </w:rPr>
        <w:t xml:space="preserve">Si, ť*!'.,. ť </w:t>
      </w:r>
      <w:r>
        <w:rPr>
          <w:rStyle w:val="CharStyle30"/>
          <w:lang w:val="en-US" w:eastAsia="en-US" w:bidi="en-US"/>
        </w:rPr>
        <w:t xml:space="preserve">.jjL.iiiVirvO'Vy </w:t>
      </w:r>
      <w:r>
        <w:rPr>
          <w:rStyle w:val="CharStyle30"/>
        </w:rPr>
        <w:t>ÚŘAD Krajský pozemkový úřad pro Paří ubický kr&lt;y</w:t>
      </w:r>
    </w:p>
    <w:p>
      <w:pPr>
        <w:pStyle w:val="Style3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8680" w:right="0"/>
      </w:pPr>
      <w:r>
        <w:rPr>
          <w:rStyle w:val="CharStyle33"/>
          <w:b/>
          <w:bCs/>
        </w:rPr>
        <w:t>B. Němcové 231</w:t>
      </w:r>
    </w:p>
    <w:p>
      <w:pPr>
        <w:pStyle w:val="Style34"/>
        <w:widowControl w:val="0"/>
        <w:keepNext w:val="0"/>
        <w:keepLines w:val="0"/>
        <w:shd w:val="clear" w:color="auto" w:fill="auto"/>
        <w:bidi w:val="0"/>
        <w:jc w:val="left"/>
        <w:spacing w:before="0" w:after="203"/>
        <w:ind w:left="8680" w:right="0"/>
      </w:pPr>
      <w:r>
        <w:pict>
          <v:shape id="_x0000_s1027" type="#_x0000_t202" style="position:absolute;margin-left:398.65pt;margin-top:3.35pt;width:90.pt;height:20.05pt;z-index:-125829375;mso-wrap-distance-left:5.pt;mso-wrap-distance-top:1.3pt;mso-wrap-distance-right:5.pt;mso-wrap-distance-bottom:1.2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AlA,a.s. Čepníky</w:t>
                  </w:r>
                </w:p>
                <w:p>
                  <w:pPr>
                    <w:pStyle w:val="Style6"/>
                    <w:tabs>
                      <w:tab w:leader="none" w:pos="619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 xml:space="preserve">- </w:t>
                  </w:r>
                  <w:r>
                    <w:rPr>
                      <w:rStyle w:val="CharStyle8"/>
                    </w:rPr>
                    <w:t>“</w:t>
                  </w: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ab/>
                    <w:t xml:space="preserve">.. rV </w:t>
                  </w:r>
                  <w:r>
                    <w:rPr>
                      <w:rStyle w:val="CharStyle8"/>
                    </w:rPr>
                    <w:t xml:space="preserve">  , i, A</w:t>
                  </w: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 xml:space="preserve"> 4 ifM</w:t>
                  </w:r>
                </w:p>
              </w:txbxContent>
            </v:textbox>
            <w10:wrap type="square" anchorx="margin"/>
          </v:shape>
        </w:pict>
      </w:r>
      <w:r>
        <w:rPr>
          <w:rStyle w:val="CharStyle36"/>
          <w:b/>
          <w:bCs/>
        </w:rPr>
        <w:t xml:space="preserve">530 </w:t>
      </w:r>
      <w:r>
        <w:rPr>
          <w:rStyle w:val="CharStyle37"/>
          <w:b/>
          <w:bCs/>
        </w:rPr>
        <w:t>03 Pardubic*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8680" w:right="0"/>
      </w:pPr>
      <w:r>
        <w:pict>
          <v:shape id="_x0000_s1028" type="#_x0000_t202" style="position:absolute;margin-left:27.6pt;margin-top:74.45pt;width:180.25pt;height:29.95pt;z-index:-125829374;mso-wrap-distance-left:5.pt;mso-wrap-distance-right:5.pt;mso-wrap-distance-bottom:68.9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9" w:lineRule="exact"/>
                    <w:ind w:left="380" w:right="0"/>
                  </w:pPr>
                  <w:r>
                    <w:rPr>
                      <w:rStyle w:val="CharStyle10"/>
                    </w:rPr>
                    <w:t>ředitel Krajského pozemkového úřadu pro Pardubický kraj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9" type="#_x0000_t202" style="position:absolute;margin-left:42.5pt;margin-top:47.4pt;width:112.8pt;height:29.pt;z-index:-125829373;mso-wrap-distance-left:5.pt;mso-wrap-distance-right:354.5pt;mso-wrap-distance-bottom:26.35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0"/>
                    </w:rPr>
                    <w:t>Státní pozemkový úřad</w: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3"/>
                      <w:b/>
                      <w:bCs/>
                    </w:rPr>
                    <w:t>Ing. Miroslav Kučera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292.55pt;margin-top:47.15pt;width:121.45pt;height:44.65pt;z-index:-125829372;mso-wrap-distance-left:250.1pt;mso-wrap-distance-right:95.75pt;mso-wrap-distance-bottom:10.9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278" w:lineRule="exact"/>
                    <w:ind w:left="0" w:right="60" w:firstLine="0"/>
                  </w:pPr>
                  <w:bookmarkStart w:id="0" w:name="bookmark0"/>
                  <w:r>
                    <w:rPr>
                      <w:rStyle w:val="CharStyle12"/>
                      <w:b/>
                      <w:bCs/>
                    </w:rPr>
                    <w:t>Jan Dostál</w:t>
                  </w:r>
                  <w:bookmarkEnd w:id="0"/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předseda představenstva A T A, a.s. Řepníky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margin-left:338.15pt;margin-top:90.1pt;width:39.35pt;height:15.1pt;z-index:-125829371;mso-wrap-distance-left:295.7pt;mso-wrap-distance-top:41.6pt;mso-wrap-distance-right:132.25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0"/>
                    </w:rPr>
                    <w:t>uživatel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71.5pt;margin-top:173.3pt;width:61.7pt;height:15.35pt;z-index:-125829370;mso-wrap-distance-left:71.5pt;mso-wrap-distance-right:5.pt;mso-wrap-distance-bottom:20.pt;mso-position-horizontal-relative:margin" wrapcoords="0 0 21600 0 21600 21600 0 21600 0 0">
            <v:imagedata r:id="rId5" r:href="rId6"/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 ftopnikésh 126 * aod 671 506 </w:t>
      </w:r>
      <w:r>
        <w:rPr>
          <w:rStyle w:val="CharStyle40"/>
          <w:b/>
          <w:bCs/>
        </w:rPr>
        <w:t>i * uč- C247468513</w:t>
      </w:r>
      <w:r>
        <w:br w:type="page"/>
      </w:r>
    </w:p>
    <w:p>
      <w:pPr>
        <w:pStyle w:val="Style41"/>
        <w:framePr w:w="9557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43"/>
          <w:b/>
          <w:bCs/>
        </w:rPr>
        <w:t>Výpočet dohody o zaplacení úhrady za užívání č. 53 N 14/50</w:t>
      </w:r>
    </w:p>
    <w:tbl>
      <w:tblPr>
        <w:tblOverlap w:val="never"/>
        <w:tblLayout w:type="fixed"/>
        <w:jc w:val="center"/>
      </w:tblPr>
      <w:tblGrid>
        <w:gridCol w:w="1229"/>
        <w:gridCol w:w="422"/>
        <w:gridCol w:w="998"/>
        <w:gridCol w:w="758"/>
        <w:gridCol w:w="734"/>
        <w:gridCol w:w="874"/>
        <w:gridCol w:w="893"/>
        <w:gridCol w:w="1037"/>
        <w:gridCol w:w="1003"/>
        <w:gridCol w:w="686"/>
        <w:gridCol w:w="922"/>
      </w:tblGrid>
      <w:tr>
        <w:trPr>
          <w:trHeight w:val="8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itastrální úzet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Skupina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260" w:firstLine="0"/>
            </w:pPr>
            <w:r>
              <w:rPr>
                <w:rStyle w:val="CharStyle44"/>
              </w:rPr>
              <w:t>p.p.č.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Kč/m</w:t>
            </w:r>
            <w:r>
              <w:rPr>
                <w:rStyle w:val="CharStyle44"/>
                <w:vertAlign w:val="superscript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Procento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5" w:lineRule="exact"/>
              <w:ind w:left="0" w:right="0" w:firstLine="0"/>
            </w:pPr>
            <w:r>
              <w:rPr>
                <w:rStyle w:val="CharStyle44"/>
              </w:rPr>
              <w:t>Roční nájem v Kč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Rozhodné datum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Počet</w:t>
            </w:r>
          </w:p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20" w:right="0" w:firstLine="0"/>
            </w:pPr>
            <w:r>
              <w:rPr>
                <w:rStyle w:val="CharStyle44"/>
              </w:rPr>
              <w:t>dní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Nájemné</w:t>
            </w:r>
          </w:p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5"/>
            <w:tcBorders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9557" w:wrap="notBeside" w:vAnchor="text" w:hAnchor="text" w:xAlign="center" w:y="1"/>
              <w:tabs>
                <w:tab w:leader="none" w:pos="102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Od</w:t>
              <w:tab/>
              <w:t>Do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Vysoké Mýto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4703/1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2779,00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13,18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366,27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11.10.2003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30.9.2014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4008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20" w:right="0" w:firstLine="0"/>
            </w:pPr>
            <w:r>
              <w:rPr>
                <w:rStyle w:val="CharStyle44"/>
              </w:rPr>
              <w:t>4021,95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4703/1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2779,00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13,18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2,2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805,80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1.10.2014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5.4.2016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553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20" w:right="0" w:firstLine="0"/>
            </w:pPr>
            <w:r>
              <w:rPr>
                <w:rStyle w:val="CharStyle44"/>
              </w:rPr>
              <w:t>1220,84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44"/>
              </w:rPr>
              <w:t>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5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="95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20" w:right="0" w:firstLine="0"/>
            </w:pPr>
            <w:r>
              <w:rPr>
                <w:rStyle w:val="CharStyle44"/>
              </w:rPr>
              <w:t>4021,95</w:t>
            </w:r>
          </w:p>
        </w:tc>
      </w:tr>
    </w:tbl>
    <w:p>
      <w:pPr>
        <w:framePr w:w="9557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45"/>
        <w:widowControl w:val="0"/>
        <w:keepNext w:val="0"/>
        <w:keepLines w:val="0"/>
        <w:shd w:val="clear" w:color="auto" w:fill="auto"/>
        <w:bidi w:val="0"/>
        <w:jc w:val="left"/>
        <w:spacing w:before="666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Datum splatnosti: 31.5.2016</w:t>
      </w:r>
    </w:p>
    <w:sectPr>
      <w:footnotePr>
        <w:pos w:val="pageBottom"/>
        <w:numFmt w:val="decimal"/>
        <w:numRestart w:val="continuous"/>
      </w:footnotePr>
      <w:pgSz w:w="11904" w:h="16834"/>
      <w:pgMar w:top="1534" w:left="776" w:right="933" w:bottom="2277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5">
    <w:name w:val="Char Style 5 Exact"/>
    <w:basedOn w:val="DefaultParagraphFont"/>
    <w:link w:val="Style4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7">
    <w:name w:val="Char Style 7 Exact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0"/>
      <w:szCs w:val="10"/>
    </w:rPr>
  </w:style>
  <w:style w:type="character" w:customStyle="1" w:styleId="CharStyle8">
    <w:name w:val="Char Style 8 Exact"/>
    <w:basedOn w:val="CharStyle7"/>
    <w:rPr>
      <w:lang w:val="cs-CZ" w:eastAsia="cs-CZ" w:bidi="cs-CZ"/>
      <w:i/>
      <w:iCs/>
      <w:sz w:val="8"/>
      <w:szCs w:val="8"/>
      <w:rFonts w:ascii="Times New Roman" w:eastAsia="Times New Roman" w:hAnsi="Times New Roman" w:cs="Times New Roman"/>
      <w:w w:val="100"/>
      <w:spacing w:val="20"/>
      <w:color w:val="000000"/>
      <w:position w:val="0"/>
    </w:rPr>
  </w:style>
  <w:style w:type="character" w:customStyle="1" w:styleId="CharStyle10">
    <w:name w:val="Char Style 10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2">
    <w:name w:val="Char Style 12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3">
    <w:name w:val="Char Style 13"/>
    <w:basedOn w:val="DefaultParagraphFont"/>
    <w:link w:val="Style2"/>
    <w:rPr>
      <w:b/>
      <w:bCs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4">
    <w:name w:val="Char Style 14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5">
    <w:name w:val="Char Style 15"/>
    <w:basedOn w:val="CharStyle13"/>
    <w:rPr>
      <w:lang w:val="cs-CZ" w:eastAsia="cs-CZ" w:bidi="cs-CZ"/>
      <w:rFonts w:ascii="Times New Roman" w:eastAsia="Times New Roman" w:hAnsi="Times New Roman" w:cs="Times New Roman"/>
      <w:w w:val="100"/>
      <w:spacing w:val="40"/>
      <w:color w:val="000000"/>
      <w:position w:val="0"/>
    </w:rPr>
  </w:style>
  <w:style w:type="character" w:customStyle="1" w:styleId="CharStyle16">
    <w:name w:val="Char Style 16"/>
    <w:basedOn w:val="CharStyle14"/>
    <w:rPr>
      <w:lang w:val="cs-CZ" w:eastAsia="cs-CZ" w:bidi="cs-CZ"/>
      <w:sz w:val="19"/>
      <w:szCs w:val="19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8">
    <w:name w:val="Char Style 18"/>
    <w:basedOn w:val="DefaultParagraphFont"/>
    <w:link w:val="Style17"/>
    <w:rPr>
      <w:b/>
      <w:bCs/>
      <w:i w:val="0"/>
      <w:iCs w:val="0"/>
      <w:u w:val="none"/>
      <w:strike w:val="0"/>
      <w:smallCaps w:val="0"/>
      <w:sz w:val="30"/>
      <w:szCs w:val="30"/>
    </w:rPr>
  </w:style>
  <w:style w:type="character" w:customStyle="1" w:styleId="CharStyle20">
    <w:name w:val="Char Style 20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22">
    <w:name w:val="Char Style 22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23">
    <w:name w:val="Char Style 23"/>
    <w:basedOn w:val="CharStyle14"/>
    <w:rPr>
      <w:lang w:val="cs-CZ" w:eastAsia="cs-CZ" w:bidi="cs-CZ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5">
    <w:name w:val="Char Style 25"/>
    <w:basedOn w:val="DefaultParagraphFont"/>
    <w:link w:val="Style24"/>
    <w:rPr>
      <w:b/>
      <w:bCs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26">
    <w:name w:val="Char Style 26"/>
    <w:basedOn w:val="CharStyle14"/>
    <w:rPr>
      <w:lang w:val="cs-CZ" w:eastAsia="cs-CZ" w:bidi="cs-CZ"/>
      <w:b/>
      <w:b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7">
    <w:name w:val="Char Style 27"/>
    <w:basedOn w:val="DefaultParagraphFont"/>
    <w:link w:val="Style11"/>
    <w:rPr>
      <w:b/>
      <w:bCs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29">
    <w:name w:val="Char Style 29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character" w:customStyle="1" w:styleId="CharStyle30">
    <w:name w:val="Char Style 30"/>
    <w:basedOn w:val="CharStyle29"/>
    <w:rPr>
      <w:lang w:val="cs-CZ" w:eastAsia="cs-CZ" w:bidi="cs-CZ"/>
      <w:rFonts w:ascii="Times New Roman" w:eastAsia="Times New Roman" w:hAnsi="Times New Roman" w:cs="Times New Roman"/>
      <w:w w:val="100"/>
      <w:spacing w:val="0"/>
      <w:color w:val="498FDA"/>
      <w:position w:val="0"/>
    </w:rPr>
  </w:style>
  <w:style w:type="character" w:customStyle="1" w:styleId="CharStyle32">
    <w:name w:val="Char Style 32"/>
    <w:basedOn w:val="DefaultParagraphFont"/>
    <w:link w:val="Style31"/>
    <w:rPr>
      <w:b/>
      <w:bCs/>
      <w:i w:val="0"/>
      <w:iCs w:val="0"/>
      <w:u w:val="none"/>
      <w:strike w:val="0"/>
      <w:smallCaps w:val="0"/>
      <w:sz w:val="18"/>
      <w:szCs w:val="18"/>
    </w:rPr>
  </w:style>
  <w:style w:type="character" w:customStyle="1" w:styleId="CharStyle33">
    <w:name w:val="Char Style 33"/>
    <w:basedOn w:val="CharStyle32"/>
    <w:rPr>
      <w:lang w:val="cs-CZ" w:eastAsia="cs-CZ" w:bidi="cs-CZ"/>
      <w:rFonts w:ascii="Times New Roman" w:eastAsia="Times New Roman" w:hAnsi="Times New Roman" w:cs="Times New Roman"/>
      <w:w w:val="100"/>
      <w:spacing w:val="0"/>
      <w:color w:val="498FDA"/>
      <w:position w:val="0"/>
    </w:rPr>
  </w:style>
  <w:style w:type="character" w:customStyle="1" w:styleId="CharStyle35">
    <w:name w:val="Char Style 35"/>
    <w:basedOn w:val="DefaultParagraphFont"/>
    <w:link w:val="Style34"/>
    <w:rPr>
      <w:b/>
      <w:bCs/>
      <w:i w:val="0"/>
      <w:iCs w:val="0"/>
      <w:u w:val="none"/>
      <w:strike w:val="0"/>
      <w:smallCaps w:val="0"/>
      <w:sz w:val="17"/>
      <w:szCs w:val="17"/>
    </w:rPr>
  </w:style>
  <w:style w:type="character" w:customStyle="1" w:styleId="CharStyle36">
    <w:name w:val="Char Style 36"/>
    <w:basedOn w:val="CharStyle35"/>
    <w:rPr>
      <w:lang w:val="cs-CZ" w:eastAsia="cs-CZ" w:bidi="cs-CZ"/>
      <w:b/>
      <w:bCs/>
      <w:sz w:val="18"/>
      <w:szCs w:val="18"/>
      <w:rFonts w:ascii="Times New Roman" w:eastAsia="Times New Roman" w:hAnsi="Times New Roman" w:cs="Times New Roman"/>
      <w:w w:val="100"/>
      <w:spacing w:val="0"/>
      <w:color w:val="498FDA"/>
      <w:position w:val="0"/>
    </w:rPr>
  </w:style>
  <w:style w:type="character" w:customStyle="1" w:styleId="CharStyle37">
    <w:name w:val="Char Style 37"/>
    <w:basedOn w:val="CharStyle35"/>
    <w:rPr>
      <w:lang w:val="cs-CZ" w:eastAsia="cs-CZ" w:bidi="cs-CZ"/>
      <w:rFonts w:ascii="Times New Roman" w:eastAsia="Times New Roman" w:hAnsi="Times New Roman" w:cs="Times New Roman"/>
      <w:w w:val="100"/>
      <w:spacing w:val="0"/>
      <w:color w:val="498FDA"/>
      <w:position w:val="0"/>
    </w:rPr>
  </w:style>
  <w:style w:type="character" w:customStyle="1" w:styleId="CharStyle39">
    <w:name w:val="Char Style 39"/>
    <w:basedOn w:val="DefaultParagraphFont"/>
    <w:link w:val="Style38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40">
    <w:name w:val="Char Style 40"/>
    <w:basedOn w:val="CharStyle39"/>
    <w:rPr>
      <w:lang w:val="cs-CZ" w:eastAsia="cs-CZ" w:bidi="cs-CZ"/>
      <w:sz w:val="18"/>
      <w:szCs w:val="1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2">
    <w:name w:val="Char Style 42"/>
    <w:basedOn w:val="DefaultParagraphFont"/>
    <w:link w:val="Style41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43">
    <w:name w:val="Char Style 43"/>
    <w:basedOn w:val="CharStyle42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44">
    <w:name w:val="Char Style 44"/>
    <w:basedOn w:val="CharStyle14"/>
    <w:rPr>
      <w:lang w:val="cs-CZ" w:eastAsia="cs-CZ" w:bidi="cs-CZ"/>
      <w:sz w:val="19"/>
      <w:szCs w:val="19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6">
    <w:name w:val="Char Style 46"/>
    <w:basedOn w:val="DefaultParagraphFont"/>
    <w:link w:val="Style45"/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paragraph" w:customStyle="1" w:styleId="Style2">
    <w:name w:val="Style 2"/>
    <w:basedOn w:val="Normal"/>
    <w:link w:val="CharStyle13"/>
    <w:pPr>
      <w:widowControl w:val="0"/>
      <w:shd w:val="clear" w:color="auto" w:fill="FFFFFF"/>
      <w:spacing w:line="244" w:lineRule="exact"/>
    </w:pPr>
    <w:rPr>
      <w:b/>
      <w:bCs/>
      <w:i w:val="0"/>
      <w:iCs w:val="0"/>
      <w:u w:val="none"/>
      <w:strike w:val="0"/>
      <w:smallCaps w:val="0"/>
      <w:sz w:val="22"/>
      <w:szCs w:val="22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266" w:lineRule="exact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jc w:val="both"/>
      <w:spacing w:line="110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</w:rPr>
  </w:style>
  <w:style w:type="paragraph" w:customStyle="1" w:styleId="Style9">
    <w:name w:val="Style 9"/>
    <w:basedOn w:val="Normal"/>
    <w:link w:val="CharStyle14"/>
    <w:pPr>
      <w:widowControl w:val="0"/>
      <w:shd w:val="clear" w:color="auto" w:fill="FFFFFF"/>
      <w:spacing w:line="244" w:lineRule="exact"/>
      <w:ind w:hanging="380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11">
    <w:name w:val="Style 11"/>
    <w:basedOn w:val="Normal"/>
    <w:link w:val="CharStyle27"/>
    <w:pPr>
      <w:widowControl w:val="0"/>
      <w:shd w:val="clear" w:color="auto" w:fill="FFFFFF"/>
      <w:jc w:val="center"/>
      <w:outlineLvl w:val="2"/>
      <w:spacing w:before="300" w:after="300" w:line="244" w:lineRule="exact"/>
    </w:pPr>
    <w:rPr>
      <w:b/>
      <w:bCs/>
      <w:i w:val="0"/>
      <w:iCs w:val="0"/>
      <w:u w:val="none"/>
      <w:strike w:val="0"/>
      <w:smallCaps w:val="0"/>
      <w:sz w:val="22"/>
      <w:szCs w:val="22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jc w:val="center"/>
      <w:outlineLvl w:val="0"/>
      <w:spacing w:before="300" w:line="332" w:lineRule="exact"/>
    </w:pPr>
    <w:rPr>
      <w:b/>
      <w:bCs/>
      <w:i w:val="0"/>
      <w:iCs w:val="0"/>
      <w:u w:val="none"/>
      <w:strike w:val="0"/>
      <w:smallCaps w:val="0"/>
      <w:sz w:val="30"/>
      <w:szCs w:val="30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jc w:val="center"/>
      <w:outlineLvl w:val="1"/>
      <w:spacing w:before="180" w:after="300" w:line="24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  <w:jc w:val="both"/>
      <w:spacing w:line="278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  <w:jc w:val="center"/>
      <w:outlineLvl w:val="1"/>
      <w:spacing w:before="300" w:after="300" w:line="244" w:lineRule="exact"/>
    </w:pPr>
    <w:rPr>
      <w:b/>
      <w:bCs/>
      <w:i w:val="0"/>
      <w:iCs w:val="0"/>
      <w:u w:val="none"/>
      <w:strike w:val="0"/>
      <w:smallCaps w:val="0"/>
      <w:sz w:val="22"/>
      <w:szCs w:val="22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FFFFFF"/>
      <w:spacing w:before="200" w:line="178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FFFFFF"/>
      <w:spacing w:line="200" w:lineRule="exact"/>
      <w:ind w:hanging="8680"/>
    </w:pPr>
    <w:rPr>
      <w:b/>
      <w:bCs/>
      <w:i w:val="0"/>
      <w:iCs w:val="0"/>
      <w:u w:val="none"/>
      <w:strike w:val="0"/>
      <w:smallCaps w:val="0"/>
      <w:sz w:val="18"/>
      <w:szCs w:val="18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FFFFFF"/>
      <w:spacing w:after="200" w:line="200" w:lineRule="exact"/>
      <w:ind w:hanging="8680"/>
    </w:pPr>
    <w:rPr>
      <w:b/>
      <w:bCs/>
      <w:i w:val="0"/>
      <w:iCs w:val="0"/>
      <w:u w:val="none"/>
      <w:strike w:val="0"/>
      <w:smallCaps w:val="0"/>
      <w:sz w:val="17"/>
      <w:szCs w:val="17"/>
    </w:rPr>
  </w:style>
  <w:style w:type="paragraph" w:customStyle="1" w:styleId="Style38">
    <w:name w:val="Style 38"/>
    <w:basedOn w:val="Normal"/>
    <w:link w:val="CharStyle39"/>
    <w:pPr>
      <w:widowControl w:val="0"/>
      <w:shd w:val="clear" w:color="auto" w:fill="FFFFFF"/>
      <w:spacing w:before="200" w:line="197" w:lineRule="exact"/>
      <w:ind w:hanging="8680"/>
    </w:pPr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41">
    <w:name w:val="Style 41"/>
    <w:basedOn w:val="Normal"/>
    <w:link w:val="CharStyle42"/>
    <w:pPr>
      <w:widowControl w:val="0"/>
      <w:shd w:val="clear" w:color="auto" w:fill="FFFFFF"/>
      <w:spacing w:line="234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45">
    <w:name w:val="Style 45"/>
    <w:basedOn w:val="Normal"/>
    <w:link w:val="CharStyle46"/>
    <w:pPr>
      <w:widowControl w:val="0"/>
      <w:shd w:val="clear" w:color="auto" w:fill="FFFFFF"/>
      <w:spacing w:before="700" w:line="21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