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E2FC" w14:textId="2A9A0F4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67B051E6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831E48">
            <w:rPr>
              <w:sz w:val="14"/>
              <w:szCs w:val="14"/>
            </w:rPr>
            <w:t>SMK/1</w:t>
          </w:r>
          <w:r w:rsidR="00B3008F">
            <w:rPr>
              <w:sz w:val="14"/>
              <w:szCs w:val="14"/>
            </w:rPr>
            <w:t>5</w:t>
          </w:r>
          <w:r w:rsidR="00831E48">
            <w:rPr>
              <w:sz w:val="14"/>
              <w:szCs w:val="14"/>
            </w:rPr>
            <w:t>8431</w:t>
          </w:r>
          <w:r w:rsidR="00747BBD" w:rsidRPr="00EA0EDF">
            <w:rPr>
              <w:sz w:val="14"/>
              <w:szCs w:val="14"/>
            </w:rPr>
            <w:t>/202</w:t>
          </w:r>
          <w:r w:rsidR="00831E48">
            <w:rPr>
              <w:sz w:val="14"/>
              <w:szCs w:val="14"/>
            </w:rPr>
            <w:t>2</w:t>
          </w:r>
        </w:sdtContent>
      </w:sdt>
      <w:bookmarkEnd w:id="1"/>
    </w:p>
    <w:p w14:paraId="2F971004" w14:textId="5AE51F38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747BBD">
            <w:rPr>
              <w:sz w:val="14"/>
              <w:szCs w:val="14"/>
            </w:rPr>
            <w:t>SML/</w:t>
          </w:r>
          <w:r w:rsidR="00183028">
            <w:rPr>
              <w:sz w:val="14"/>
              <w:szCs w:val="14"/>
            </w:rPr>
            <w:t>0149</w:t>
          </w:r>
          <w:r w:rsidR="00831E48">
            <w:rPr>
              <w:sz w:val="14"/>
              <w:szCs w:val="14"/>
            </w:rPr>
            <w:t>/2023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1CCCC3FA" w14:textId="77777777" w:rsidR="00C14926" w:rsidRDefault="00C14926" w:rsidP="00C14926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76871AB2" w14:textId="77777777" w:rsidR="00C14926" w:rsidRDefault="00C14926" w:rsidP="00C14926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8180671" w14:textId="77777777" w:rsidR="00C14926" w:rsidRDefault="00C14926" w:rsidP="00C14926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0CBBE68F" w14:textId="77777777" w:rsidR="00C14926" w:rsidRDefault="00C14926" w:rsidP="00C14926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1F88B6B2" w14:textId="77777777" w:rsidR="00C14926" w:rsidRDefault="00C14926" w:rsidP="00C14926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AD58DB9" w14:textId="77777777" w:rsidR="00C14926" w:rsidRDefault="00C14926" w:rsidP="00C14926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4DAAE1DA" w14:textId="77777777" w:rsidR="00C14926" w:rsidRDefault="00C14926" w:rsidP="00C14926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FA73466" w14:textId="77777777" w:rsidR="00C14926" w:rsidRDefault="00C14926" w:rsidP="00C14926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3C91FC7B" w14:textId="77777777" w:rsidR="00C14926" w:rsidRDefault="00C14926" w:rsidP="00C14926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77687EFB" w14:textId="478FC2D7" w:rsidR="00730869" w:rsidRPr="00F720FE" w:rsidRDefault="00C14926" w:rsidP="00C14926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226E425" w14:textId="7D5FBDD0" w:rsidR="000C04AA" w:rsidRDefault="00EF7BFF" w:rsidP="000C04AA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0C04AA">
        <w:rPr>
          <w:rFonts w:cs="Arial"/>
          <w:b/>
          <w:color w:val="000000" w:themeColor="text1"/>
          <w:sz w:val="22"/>
        </w:rPr>
        <w:t xml:space="preserve">Armáda spásy v České </w:t>
      </w:r>
      <w:proofErr w:type="gramStart"/>
      <w:r w:rsidR="000C04AA">
        <w:rPr>
          <w:rFonts w:cs="Arial"/>
          <w:b/>
          <w:color w:val="000000" w:themeColor="text1"/>
          <w:sz w:val="22"/>
        </w:rPr>
        <w:t xml:space="preserve">republice, </w:t>
      </w:r>
      <w:proofErr w:type="spellStart"/>
      <w:r w:rsidR="000C04AA">
        <w:rPr>
          <w:rFonts w:cs="Arial"/>
          <w:b/>
          <w:color w:val="000000" w:themeColor="text1"/>
          <w:sz w:val="22"/>
        </w:rPr>
        <w:t>z.s</w:t>
      </w:r>
      <w:proofErr w:type="spellEnd"/>
      <w:r w:rsidR="000C04AA">
        <w:rPr>
          <w:rFonts w:cs="Arial"/>
          <w:b/>
          <w:color w:val="000000" w:themeColor="text1"/>
          <w:sz w:val="22"/>
        </w:rPr>
        <w:t>.</w:t>
      </w:r>
      <w:proofErr w:type="gramEnd"/>
    </w:p>
    <w:p w14:paraId="403BF5C0" w14:textId="76FC53D9" w:rsidR="00747BBD" w:rsidRPr="000C04AA" w:rsidRDefault="00FF2FC9" w:rsidP="000C04AA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</w:t>
      </w:r>
      <w:r w:rsidR="000C04AA">
        <w:rPr>
          <w:sz w:val="22"/>
        </w:rPr>
        <w:t>e</w:t>
      </w:r>
      <w:r w:rsidR="00747BBD">
        <w:rPr>
          <w:sz w:val="22"/>
        </w:rPr>
        <w:t xml:space="preserve"> </w:t>
      </w:r>
      <w:r w:rsidR="000C04AA">
        <w:rPr>
          <w:sz w:val="22"/>
        </w:rPr>
        <w:t xml:space="preserve">spolkovém </w:t>
      </w:r>
      <w:proofErr w:type="gramStart"/>
      <w:r w:rsidR="00C76100">
        <w:rPr>
          <w:sz w:val="22"/>
        </w:rPr>
        <w:t>r</w:t>
      </w:r>
      <w:r w:rsidR="00747BBD" w:rsidRPr="00CF632B">
        <w:rPr>
          <w:sz w:val="22"/>
        </w:rPr>
        <w:t xml:space="preserve">ejstříku </w:t>
      </w:r>
      <w:r w:rsidR="00C76100">
        <w:rPr>
          <w:sz w:val="22"/>
        </w:rPr>
        <w:t xml:space="preserve"> vedeném</w:t>
      </w:r>
      <w:proofErr w:type="gramEnd"/>
      <w:r w:rsidR="00C76100">
        <w:rPr>
          <w:sz w:val="22"/>
        </w:rPr>
        <w:t xml:space="preserve"> u </w:t>
      </w:r>
      <w:r w:rsidR="000C04AA">
        <w:rPr>
          <w:sz w:val="22"/>
        </w:rPr>
        <w:t xml:space="preserve">Městského soudu </w:t>
      </w:r>
      <w:r w:rsidR="00C76100">
        <w:rPr>
          <w:sz w:val="22"/>
        </w:rPr>
        <w:t>v </w:t>
      </w:r>
      <w:r w:rsidR="000C04AA">
        <w:rPr>
          <w:sz w:val="22"/>
        </w:rPr>
        <w:t>Praze</w:t>
      </w:r>
      <w:r w:rsidR="00C76100">
        <w:rPr>
          <w:sz w:val="22"/>
        </w:rPr>
        <w:t>,</w:t>
      </w:r>
    </w:p>
    <w:p w14:paraId="0E0434E4" w14:textId="7B5008C3" w:rsidR="00C76100" w:rsidRDefault="000C04AA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sz w:val="22"/>
        </w:rPr>
        <w:tab/>
        <w:t>oddíl L</w:t>
      </w:r>
      <w:r w:rsidR="00C76100">
        <w:rPr>
          <w:sz w:val="22"/>
        </w:rPr>
        <w:t xml:space="preserve">, vložka </w:t>
      </w:r>
      <w:r>
        <w:rPr>
          <w:sz w:val="22"/>
        </w:rPr>
        <w:t>297</w:t>
      </w:r>
    </w:p>
    <w:p w14:paraId="2B03D3C9" w14:textId="4393E508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0C04AA">
        <w:rPr>
          <w:rFonts w:cs="Arial"/>
          <w:color w:val="000000" w:themeColor="text1"/>
          <w:sz w:val="22"/>
        </w:rPr>
        <w:t xml:space="preserve">Ing. Bc. Hanou </w:t>
      </w:r>
      <w:proofErr w:type="spellStart"/>
      <w:r w:rsidR="000C04AA">
        <w:rPr>
          <w:rFonts w:cs="Arial"/>
          <w:color w:val="000000" w:themeColor="text1"/>
          <w:sz w:val="22"/>
        </w:rPr>
        <w:t>Buříkovou</w:t>
      </w:r>
      <w:proofErr w:type="spellEnd"/>
      <w:r w:rsidR="000C04AA">
        <w:rPr>
          <w:rFonts w:cs="Arial"/>
          <w:color w:val="000000" w:themeColor="text1"/>
          <w:sz w:val="22"/>
        </w:rPr>
        <w:t>, oblastním ekonomem Armády spásy pro Moravskoslezský kraj</w:t>
      </w:r>
    </w:p>
    <w:p w14:paraId="4FD44DB6" w14:textId="1CC2EB93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0C04AA">
        <w:rPr>
          <w:sz w:val="22"/>
        </w:rPr>
        <w:t xml:space="preserve">Potvrzení o rozsahu </w:t>
      </w:r>
      <w:proofErr w:type="spellStart"/>
      <w:r w:rsidR="000C04AA">
        <w:rPr>
          <w:sz w:val="22"/>
        </w:rPr>
        <w:t>zástupčího</w:t>
      </w:r>
      <w:proofErr w:type="spellEnd"/>
      <w:r w:rsidR="000C04AA">
        <w:rPr>
          <w:sz w:val="22"/>
        </w:rPr>
        <w:t xml:space="preserve"> oprávnění zaměstnance</w:t>
      </w:r>
    </w:p>
    <w:p w14:paraId="4B8B12CA" w14:textId="671E494D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831E48">
        <w:rPr>
          <w:sz w:val="22"/>
        </w:rPr>
        <w:t>05.09.2022</w:t>
      </w:r>
      <w:proofErr w:type="gramEnd"/>
    </w:p>
    <w:p w14:paraId="6B74A468" w14:textId="176C73BD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0C04AA">
        <w:rPr>
          <w:rFonts w:cs="Arial"/>
          <w:color w:val="000000" w:themeColor="text1"/>
          <w:sz w:val="22"/>
        </w:rPr>
        <w:t>Petržílkova 2565/23. Stodůlky, 158 00 Praha</w:t>
      </w:r>
    </w:p>
    <w:p w14:paraId="65AF4ECD" w14:textId="03A7BC8F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0C04AA">
        <w:rPr>
          <w:sz w:val="22"/>
        </w:rPr>
        <w:t>40613411</w:t>
      </w:r>
    </w:p>
    <w:p w14:paraId="68DB1667" w14:textId="79DDA759" w:rsidR="00747BBD" w:rsidRPr="00565F02" w:rsidRDefault="00EF7BFF" w:rsidP="000C04AA">
      <w:pPr>
        <w:jc w:val="left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0C04AA">
        <w:rPr>
          <w:sz w:val="22"/>
        </w:rPr>
        <w:t>CZ40613411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C14926">
        <w:rPr>
          <w:sz w:val="22"/>
        </w:rPr>
        <w:t>37</w:t>
      </w:r>
      <w:r w:rsidR="00183028">
        <w:rPr>
          <w:sz w:val="22"/>
        </w:rPr>
        <w:t>3904563</w:t>
      </w:r>
      <w:r w:rsidR="000C04AA">
        <w:rPr>
          <w:sz w:val="22"/>
        </w:rPr>
        <w:t>/0300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C76100">
        <w:rPr>
          <w:rFonts w:cs="Arial"/>
          <w:sz w:val="22"/>
        </w:rPr>
        <w:t>Československá obchodní banka,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459BA2F0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EC6B523" w14:textId="77777777" w:rsidR="00C14926" w:rsidRDefault="00C14926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24C74070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4627BB03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1C51DF">
        <w:rPr>
          <w:rFonts w:eastAsia="Times New Roman" w:cs="Arial"/>
          <w:b/>
          <w:sz w:val="22"/>
          <w:lang w:eastAsia="cs-CZ" w:bidi="ar-SA"/>
        </w:rPr>
        <w:t>10</w:t>
      </w:r>
      <w:r w:rsidR="000C04AA">
        <w:rPr>
          <w:rFonts w:eastAsia="Times New Roman" w:cs="Arial"/>
          <w:b/>
          <w:sz w:val="22"/>
          <w:lang w:eastAsia="cs-CZ" w:bidi="ar-SA"/>
        </w:rPr>
        <w:t>0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1C51DF">
        <w:rPr>
          <w:rFonts w:eastAsia="Times New Roman" w:cs="Arial"/>
          <w:b/>
          <w:sz w:val="22"/>
          <w:lang w:eastAsia="cs-CZ" w:bidi="ar-SA"/>
        </w:rPr>
        <w:t>100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1C51DF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61FA0C99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0C04AA">
        <w:rPr>
          <w:rFonts w:cs="Arial"/>
          <w:b/>
          <w:sz w:val="22"/>
        </w:rPr>
        <w:t xml:space="preserve">Občané Karviné v Domově Přístav Ostrava - </w:t>
      </w:r>
      <w:r w:rsidR="001C51DF">
        <w:rPr>
          <w:rFonts w:cs="Arial"/>
          <w:b/>
          <w:sz w:val="22"/>
        </w:rPr>
        <w:t>Kunčičky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1C51DF">
        <w:rPr>
          <w:rFonts w:cs="Arial"/>
          <w:sz w:val="22"/>
        </w:rPr>
        <w:t xml:space="preserve">: </w:t>
      </w:r>
      <w:proofErr w:type="gramStart"/>
      <w:r w:rsidR="00831E48">
        <w:rPr>
          <w:rFonts w:cs="Arial"/>
          <w:sz w:val="22"/>
        </w:rPr>
        <w:t>07</w:t>
      </w:r>
      <w:r w:rsidR="004761C3" w:rsidRPr="004761C3">
        <w:rPr>
          <w:rFonts w:cs="Arial"/>
          <w:sz w:val="22"/>
        </w:rPr>
        <w:t>.1</w:t>
      </w:r>
      <w:r w:rsidR="00E0260B">
        <w:rPr>
          <w:rFonts w:cs="Arial"/>
          <w:sz w:val="22"/>
        </w:rPr>
        <w:t>2</w:t>
      </w:r>
      <w:r w:rsidR="004761C3" w:rsidRPr="004761C3">
        <w:rPr>
          <w:rFonts w:cs="Arial"/>
          <w:sz w:val="22"/>
        </w:rPr>
        <w:t>.202</w:t>
      </w:r>
      <w:r w:rsidR="00831E48">
        <w:rPr>
          <w:rFonts w:cs="Arial"/>
          <w:sz w:val="22"/>
        </w:rPr>
        <w:t>2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B96AFA">
        <w:rPr>
          <w:rFonts w:cs="Arial"/>
          <w:sz w:val="22"/>
        </w:rPr>
        <w:t>15</w:t>
      </w:r>
      <w:r w:rsidR="000C04AA">
        <w:rPr>
          <w:rFonts w:cs="Arial"/>
          <w:sz w:val="22"/>
        </w:rPr>
        <w:t>8</w:t>
      </w:r>
      <w:r w:rsidR="00183028">
        <w:rPr>
          <w:rFonts w:cs="Arial"/>
          <w:sz w:val="22"/>
        </w:rPr>
        <w:t>43</w:t>
      </w:r>
      <w:r w:rsidR="00831E48">
        <w:rPr>
          <w:rFonts w:cs="Arial"/>
          <w:sz w:val="22"/>
        </w:rPr>
        <w:t>1</w:t>
      </w:r>
      <w:r w:rsidR="004761C3">
        <w:rPr>
          <w:rFonts w:cs="Arial"/>
          <w:sz w:val="22"/>
        </w:rPr>
        <w:t>/202</w:t>
      </w:r>
      <w:r w:rsidR="00831E48">
        <w:rPr>
          <w:rFonts w:cs="Arial"/>
          <w:sz w:val="22"/>
        </w:rPr>
        <w:t>2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3312BE77" w14:textId="7A58510D" w:rsidR="00C25A2F" w:rsidRDefault="00C25A2F" w:rsidP="00F17955">
      <w:pPr>
        <w:pStyle w:val="Zkladntext"/>
        <w:rPr>
          <w:rFonts w:cs="Arial"/>
          <w:b/>
          <w:bCs/>
          <w:color w:val="000000"/>
        </w:rPr>
      </w:pPr>
    </w:p>
    <w:p w14:paraId="292A5164" w14:textId="77777777" w:rsidR="00DD006F" w:rsidRDefault="00DD006F" w:rsidP="00F17955">
      <w:pPr>
        <w:pStyle w:val="Zkladntext"/>
        <w:rPr>
          <w:rFonts w:cs="Arial"/>
          <w:b/>
          <w:bCs/>
          <w:color w:val="000000"/>
        </w:rPr>
      </w:pPr>
    </w:p>
    <w:p w14:paraId="6581F21D" w14:textId="05DAD2C6" w:rsidR="002D43D5" w:rsidRPr="002D43D5" w:rsidRDefault="002D43D5" w:rsidP="00F17955">
      <w:pPr>
        <w:pStyle w:val="Zkladntext"/>
      </w:pPr>
    </w:p>
    <w:p w14:paraId="694DB61F" w14:textId="01D7E12E" w:rsidR="009067AB" w:rsidRPr="009067AB" w:rsidRDefault="002D43D5" w:rsidP="00EE367F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rozpoč</w:t>
      </w:r>
      <w:r w:rsidR="00EA0EDF">
        <w:rPr>
          <w:rFonts w:cs="Arial"/>
          <w:bCs/>
          <w:sz w:val="22"/>
        </w:rPr>
        <w:t>e</w:t>
      </w:r>
      <w:r w:rsidRPr="00A353B1">
        <w:rPr>
          <w:rFonts w:cs="Arial"/>
          <w:bCs/>
          <w:sz w:val="22"/>
        </w:rPr>
        <w:t>t projektu:</w:t>
      </w:r>
    </w:p>
    <w:tbl>
      <w:tblPr>
        <w:tblStyle w:val="TableGrid"/>
        <w:tblpPr w:vertAnchor="text" w:tblpX="347"/>
        <w:tblOverlap w:val="never"/>
        <w:tblW w:w="7901" w:type="dxa"/>
        <w:tblInd w:w="0" w:type="dxa"/>
        <w:tblCellMar>
          <w:left w:w="32" w:type="dxa"/>
          <w:right w:w="82" w:type="dxa"/>
        </w:tblCellMar>
        <w:tblLook w:val="04A0" w:firstRow="1" w:lastRow="0" w:firstColumn="1" w:lastColumn="0" w:noHBand="0" w:noVBand="1"/>
      </w:tblPr>
      <w:tblGrid>
        <w:gridCol w:w="378"/>
        <w:gridCol w:w="672"/>
        <w:gridCol w:w="2491"/>
        <w:gridCol w:w="155"/>
        <w:gridCol w:w="2029"/>
        <w:gridCol w:w="2176"/>
      </w:tblGrid>
      <w:tr w:rsidR="009067AB" w14:paraId="65F1AEAB" w14:textId="77777777" w:rsidTr="005803A7">
        <w:trPr>
          <w:trHeight w:val="278"/>
        </w:trPr>
        <w:tc>
          <w:tcPr>
            <w:tcW w:w="79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0C064" w14:textId="77777777" w:rsidR="009067AB" w:rsidRPr="00C14926" w:rsidRDefault="009067AB" w:rsidP="005803A7">
            <w:pPr>
              <w:ind w:left="80"/>
              <w:jc w:val="center"/>
              <w:rPr>
                <w:szCs w:val="20"/>
              </w:rPr>
            </w:pPr>
            <w:r w:rsidRPr="00C14926">
              <w:rPr>
                <w:szCs w:val="20"/>
              </w:rPr>
              <w:t>ROZPOČET PROJEKTU/ČINNOSTI</w:t>
            </w:r>
          </w:p>
        </w:tc>
      </w:tr>
      <w:tr w:rsidR="009067AB" w14:paraId="112234BF" w14:textId="77777777" w:rsidTr="005803A7">
        <w:trPr>
          <w:trHeight w:val="561"/>
        </w:trPr>
        <w:tc>
          <w:tcPr>
            <w:tcW w:w="1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6B702" w14:textId="77777777" w:rsidR="009067AB" w:rsidRPr="00C14926" w:rsidRDefault="009067AB" w:rsidP="005803A7">
            <w:pPr>
              <w:ind w:left="62"/>
              <w:rPr>
                <w:szCs w:val="20"/>
              </w:rPr>
            </w:pPr>
            <w:r w:rsidRPr="00C14926">
              <w:rPr>
                <w:szCs w:val="20"/>
              </w:rPr>
              <w:t>Název:</w:t>
            </w:r>
          </w:p>
        </w:tc>
        <w:tc>
          <w:tcPr>
            <w:tcW w:w="6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775E1" w14:textId="77777777" w:rsidR="009067AB" w:rsidRPr="00C14926" w:rsidRDefault="009067AB" w:rsidP="005803A7">
            <w:pPr>
              <w:ind w:left="62"/>
              <w:jc w:val="center"/>
              <w:rPr>
                <w:szCs w:val="20"/>
              </w:rPr>
            </w:pPr>
            <w:r w:rsidRPr="00C14926">
              <w:rPr>
                <w:szCs w:val="20"/>
              </w:rPr>
              <w:t>Občané Karviné v Domově Přístav Ostrava Kunčičky</w:t>
            </w:r>
          </w:p>
        </w:tc>
      </w:tr>
      <w:tr w:rsidR="009067AB" w14:paraId="20EAF5FE" w14:textId="77777777" w:rsidTr="005803A7">
        <w:trPr>
          <w:trHeight w:val="691"/>
        </w:trPr>
        <w:tc>
          <w:tcPr>
            <w:tcW w:w="3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E4E8A" w14:textId="77777777" w:rsidR="009067AB" w:rsidRPr="00C14926" w:rsidRDefault="009067AB" w:rsidP="005803A7">
            <w:pPr>
              <w:ind w:left="53"/>
              <w:rPr>
                <w:szCs w:val="20"/>
              </w:rPr>
            </w:pPr>
            <w:r w:rsidRPr="00C14926">
              <w:rPr>
                <w:szCs w:val="20"/>
              </w:rPr>
              <w:t>I. Předpokládané náklady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E518" w14:textId="77777777" w:rsidR="009067AB" w:rsidRPr="00C14926" w:rsidRDefault="009067AB" w:rsidP="005803A7">
            <w:pPr>
              <w:jc w:val="center"/>
              <w:rPr>
                <w:szCs w:val="20"/>
              </w:rPr>
            </w:pPr>
            <w:r w:rsidRPr="00C14926">
              <w:rPr>
                <w:szCs w:val="20"/>
              </w:rPr>
              <w:t>celkový rozpočet projektu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7ED7" w14:textId="77777777" w:rsidR="009067AB" w:rsidRPr="00C14926" w:rsidRDefault="009067AB" w:rsidP="005803A7">
            <w:pPr>
              <w:ind w:left="318" w:right="241" w:firstLine="14"/>
              <w:rPr>
                <w:szCs w:val="20"/>
              </w:rPr>
            </w:pPr>
            <w:r w:rsidRPr="00C14926">
              <w:rPr>
                <w:szCs w:val="20"/>
              </w:rPr>
              <w:t>požadovaná výše dotace z rozpočtu města</w:t>
            </w:r>
          </w:p>
        </w:tc>
      </w:tr>
      <w:tr w:rsidR="009067AB" w:rsidRPr="00B40B3C" w14:paraId="4A933975" w14:textId="77777777" w:rsidTr="005803A7">
        <w:trPr>
          <w:trHeight w:val="236"/>
        </w:trPr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EBDCB9" w14:textId="77777777" w:rsidR="009067AB" w:rsidRPr="00C14926" w:rsidRDefault="009067AB" w:rsidP="005803A7">
            <w:pPr>
              <w:ind w:left="77"/>
              <w:jc w:val="center"/>
              <w:rPr>
                <w:szCs w:val="20"/>
              </w:rPr>
            </w:pPr>
            <w:r w:rsidRPr="00C14926">
              <w:rPr>
                <w:rFonts w:ascii="Calibri" w:eastAsia="Calibri" w:hAnsi="Calibri" w:cs="Calibri"/>
                <w:szCs w:val="20"/>
              </w:rPr>
              <w:t>1,</w:t>
            </w: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FA20A" w14:textId="77777777" w:rsidR="009067AB" w:rsidRPr="00C14926" w:rsidRDefault="009067AB" w:rsidP="005803A7">
            <w:pPr>
              <w:ind w:left="49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Osobní náklady celkem*: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24C8" w14:textId="77777777" w:rsidR="009067AB" w:rsidRPr="00C14926" w:rsidRDefault="009067AB" w:rsidP="005803A7">
            <w:pPr>
              <w:ind w:left="48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37.034.976,-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813FB" w14:textId="77777777" w:rsidR="009067AB" w:rsidRPr="00C14926" w:rsidRDefault="009067AB" w:rsidP="005803A7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7AB" w:rsidRPr="00B40B3C" w14:paraId="0BFADE38" w14:textId="77777777" w:rsidTr="005803A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101CF7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3F2F1" w14:textId="77777777" w:rsidR="009067AB" w:rsidRPr="00C14926" w:rsidRDefault="009067AB" w:rsidP="005803A7">
            <w:pPr>
              <w:ind w:left="54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Mzdy zaměstnanců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DEC4" w14:textId="77777777" w:rsidR="009067AB" w:rsidRPr="00C14926" w:rsidRDefault="009067AB" w:rsidP="005803A7">
            <w:pPr>
              <w:ind w:left="38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26.712.951,-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EF86" w14:textId="77777777" w:rsidR="009067AB" w:rsidRPr="00C14926" w:rsidRDefault="009067AB" w:rsidP="005803A7">
            <w:pPr>
              <w:ind w:left="86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0,- Kč</w:t>
            </w:r>
          </w:p>
        </w:tc>
      </w:tr>
      <w:tr w:rsidR="009067AB" w:rsidRPr="00B40B3C" w14:paraId="4644910A" w14:textId="77777777" w:rsidTr="005803A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2BCB9C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DB2A" w14:textId="77777777" w:rsidR="009067AB" w:rsidRPr="00C14926" w:rsidRDefault="009067AB" w:rsidP="005803A7">
            <w:pPr>
              <w:ind w:left="54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Dohody DPP a D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ABCA5" w14:textId="77777777" w:rsidR="009067AB" w:rsidRPr="00C14926" w:rsidRDefault="009067AB" w:rsidP="005803A7">
            <w:pPr>
              <w:ind w:left="312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705.500,-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3A603" w14:textId="77777777" w:rsidR="009067AB" w:rsidRPr="00C14926" w:rsidRDefault="009067AB" w:rsidP="005803A7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7AB" w:rsidRPr="00B40B3C" w14:paraId="6B7AA6BA" w14:textId="77777777" w:rsidTr="005803A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7D0AB4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08A4A" w14:textId="77777777" w:rsidR="009067AB" w:rsidRPr="00C14926" w:rsidRDefault="009067AB" w:rsidP="005803A7">
            <w:pPr>
              <w:ind w:left="49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Odvody OSSZ a ZP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E5C5" w14:textId="77777777" w:rsidR="009067AB" w:rsidRPr="00C14926" w:rsidRDefault="009067AB" w:rsidP="005803A7">
            <w:pPr>
              <w:ind w:left="154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9.081.368,-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C6279" w14:textId="77777777" w:rsidR="009067AB" w:rsidRPr="00C14926" w:rsidRDefault="009067AB" w:rsidP="005803A7">
            <w:pPr>
              <w:ind w:left="82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0,- Kč</w:t>
            </w:r>
          </w:p>
        </w:tc>
      </w:tr>
      <w:tr w:rsidR="009067AB" w:rsidRPr="00B40B3C" w14:paraId="6AC983B8" w14:textId="77777777" w:rsidTr="005803A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B278D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94156" w14:textId="77777777" w:rsidR="009067AB" w:rsidRPr="00C14926" w:rsidRDefault="009067AB" w:rsidP="005803A7">
            <w:pPr>
              <w:ind w:left="44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Osobní náklad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C5669" w14:textId="77777777" w:rsidR="009067AB" w:rsidRPr="00C14926" w:rsidRDefault="009067AB" w:rsidP="005803A7">
            <w:pPr>
              <w:ind w:left="307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535.157,-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CFA3" w14:textId="77777777" w:rsidR="009067AB" w:rsidRPr="00C14926" w:rsidRDefault="009067AB" w:rsidP="005803A7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7AB" w:rsidRPr="00B40B3C" w14:paraId="31DC431A" w14:textId="77777777" w:rsidTr="005803A7">
        <w:trPr>
          <w:trHeight w:val="313"/>
        </w:trPr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F0C13" w14:textId="77777777" w:rsidR="009067AB" w:rsidRPr="00C14926" w:rsidRDefault="009067AB" w:rsidP="005803A7">
            <w:pPr>
              <w:ind w:left="34"/>
              <w:jc w:val="center"/>
              <w:rPr>
                <w:szCs w:val="20"/>
              </w:rPr>
            </w:pPr>
            <w:r w:rsidRPr="00C14926">
              <w:rPr>
                <w:rFonts w:ascii="Calibri" w:eastAsia="Calibri" w:hAnsi="Calibri" w:cs="Calibri"/>
                <w:szCs w:val="20"/>
              </w:rPr>
              <w:t>2,</w:t>
            </w: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F13D6" w14:textId="77777777" w:rsidR="009067AB" w:rsidRPr="00C14926" w:rsidRDefault="009067AB" w:rsidP="005803A7">
            <w:pPr>
              <w:ind w:left="49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Provozní náklady celkem*: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8D7E7" w14:textId="77777777" w:rsidR="009067AB" w:rsidRPr="00C14926" w:rsidRDefault="009067AB" w:rsidP="005803A7">
            <w:pPr>
              <w:ind w:left="43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13.875.383,-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F869E" w14:textId="77777777" w:rsidR="009067AB" w:rsidRPr="00C14926" w:rsidRDefault="009067AB" w:rsidP="005803A7">
            <w:pPr>
              <w:ind w:left="58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420.000,- Kč</w:t>
            </w:r>
          </w:p>
        </w:tc>
      </w:tr>
      <w:tr w:rsidR="009067AB" w:rsidRPr="00B40B3C" w14:paraId="3BAE642B" w14:textId="77777777" w:rsidTr="005803A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06FEE8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DE88B" w14:textId="77777777" w:rsidR="009067AB" w:rsidRPr="00C14926" w:rsidRDefault="009067AB" w:rsidP="005803A7">
            <w:pPr>
              <w:ind w:left="49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Potravin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EE34D" w14:textId="77777777" w:rsidR="009067AB" w:rsidRPr="00C14926" w:rsidRDefault="009067AB" w:rsidP="005803A7">
            <w:pPr>
              <w:ind w:left="82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6.050.000,-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2F3C4" w14:textId="77777777" w:rsidR="009067AB" w:rsidRPr="00C14926" w:rsidRDefault="009067AB" w:rsidP="005803A7">
            <w:pPr>
              <w:ind w:left="72"/>
              <w:jc w:val="right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C14926">
              <w:rPr>
                <w:rFonts w:asciiTheme="minorHAnsi" w:hAnsiTheme="minorHAnsi" w:cstheme="minorHAnsi"/>
                <w:szCs w:val="20"/>
              </w:rPr>
              <w:t>O.- Kč</w:t>
            </w:r>
            <w:proofErr w:type="gramEnd"/>
          </w:p>
        </w:tc>
      </w:tr>
      <w:tr w:rsidR="009067AB" w:rsidRPr="00B40B3C" w14:paraId="61D159FE" w14:textId="77777777" w:rsidTr="005803A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45A7C7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5530" w14:textId="77777777" w:rsidR="009067AB" w:rsidRPr="00C14926" w:rsidRDefault="009067AB" w:rsidP="005803A7">
            <w:pPr>
              <w:ind w:left="49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Drobný inventář do 80.000,-Kc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AC864" w14:textId="77777777" w:rsidR="009067AB" w:rsidRPr="00C14926" w:rsidRDefault="009067AB" w:rsidP="005803A7">
            <w:pPr>
              <w:ind w:left="250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eastAsia="Calibri" w:hAnsiTheme="minorHAnsi" w:cstheme="minorHAnsi"/>
                <w:szCs w:val="20"/>
              </w:rPr>
              <w:t>745.000,-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64F69" w14:textId="77777777" w:rsidR="009067AB" w:rsidRPr="00C14926" w:rsidRDefault="009067AB" w:rsidP="005803A7">
            <w:pPr>
              <w:ind w:left="72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0,- Kč</w:t>
            </w:r>
          </w:p>
        </w:tc>
      </w:tr>
      <w:tr w:rsidR="009067AB" w:rsidRPr="00B40B3C" w14:paraId="74EC98CD" w14:textId="77777777" w:rsidTr="005803A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764003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28BA8" w14:textId="27066334" w:rsidR="009067AB" w:rsidRPr="00C14926" w:rsidRDefault="009067AB" w:rsidP="00B3008F">
            <w:pPr>
              <w:ind w:left="40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Čist</w:t>
            </w:r>
            <w:r w:rsidR="00B3008F" w:rsidRPr="00C14926">
              <w:rPr>
                <w:rFonts w:asciiTheme="minorHAnsi" w:hAnsiTheme="minorHAnsi" w:cstheme="minorHAnsi"/>
                <w:szCs w:val="20"/>
              </w:rPr>
              <w:t>i</w:t>
            </w:r>
            <w:r w:rsidRPr="00C14926">
              <w:rPr>
                <w:rFonts w:asciiTheme="minorHAnsi" w:hAnsiTheme="minorHAnsi" w:cstheme="minorHAnsi"/>
                <w:szCs w:val="20"/>
              </w:rPr>
              <w:t>cí prostředky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47A56" w14:textId="77777777" w:rsidR="009067AB" w:rsidRPr="00C14926" w:rsidRDefault="009067AB" w:rsidP="005803A7">
            <w:pPr>
              <w:ind w:left="250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520.000,-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5E199" w14:textId="77777777" w:rsidR="009067AB" w:rsidRPr="00C14926" w:rsidRDefault="009067AB" w:rsidP="005803A7">
            <w:pPr>
              <w:ind w:left="67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70.000,- Kč</w:t>
            </w:r>
          </w:p>
        </w:tc>
      </w:tr>
      <w:tr w:rsidR="009067AB" w:rsidRPr="00B40B3C" w14:paraId="210DFB34" w14:textId="77777777" w:rsidTr="005803A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AEDD32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89038" w14:textId="77777777" w:rsidR="009067AB" w:rsidRPr="00C14926" w:rsidRDefault="009067AB" w:rsidP="005803A7">
            <w:pPr>
              <w:ind w:left="44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Kancelářské potřeby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9202" w14:textId="77777777" w:rsidR="009067AB" w:rsidRPr="00C14926" w:rsidRDefault="009067AB" w:rsidP="005803A7">
            <w:pPr>
              <w:ind w:left="245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200.000,-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B0C27" w14:textId="77777777" w:rsidR="009067AB" w:rsidRPr="00C14926" w:rsidRDefault="009067AB" w:rsidP="005803A7">
            <w:pPr>
              <w:ind w:left="67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0,- Kč</w:t>
            </w:r>
          </w:p>
        </w:tc>
      </w:tr>
      <w:tr w:rsidR="009067AB" w:rsidRPr="00B40B3C" w14:paraId="54C0CB57" w14:textId="77777777" w:rsidTr="005803A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6AB4DC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933E4" w14:textId="77777777" w:rsidR="009067AB" w:rsidRPr="00C14926" w:rsidRDefault="009067AB" w:rsidP="005803A7">
            <w:pPr>
              <w:ind w:left="44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PHM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86EBE" w14:textId="77777777" w:rsidR="009067AB" w:rsidRPr="00C14926" w:rsidRDefault="009067AB" w:rsidP="005803A7">
            <w:pPr>
              <w:ind w:left="259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150.000,-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62B7" w14:textId="77777777" w:rsidR="009067AB" w:rsidRPr="00C14926" w:rsidRDefault="009067AB" w:rsidP="005803A7">
            <w:pPr>
              <w:ind w:left="62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0,- Kč</w:t>
            </w:r>
          </w:p>
        </w:tc>
      </w:tr>
      <w:tr w:rsidR="009067AB" w:rsidRPr="00B40B3C" w14:paraId="15FD236A" w14:textId="77777777" w:rsidTr="005803A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3459FAD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65E0" w14:textId="77777777" w:rsidR="009067AB" w:rsidRPr="00C14926" w:rsidRDefault="009067AB" w:rsidP="005803A7">
            <w:pPr>
              <w:ind w:left="44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Materiál na údržbu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F46E" w14:textId="77777777" w:rsidR="009067AB" w:rsidRPr="00C14926" w:rsidRDefault="009067AB" w:rsidP="005803A7">
            <w:pPr>
              <w:ind w:left="240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214.000,-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F755" w14:textId="77777777" w:rsidR="009067AB" w:rsidRPr="00C14926" w:rsidRDefault="009067AB" w:rsidP="005803A7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7AB" w:rsidRPr="00B40B3C" w14:paraId="7502778A" w14:textId="77777777" w:rsidTr="005803A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446171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5AEDE9" w14:textId="77777777" w:rsidR="009067AB" w:rsidRPr="00C14926" w:rsidRDefault="009067AB" w:rsidP="005803A7">
            <w:pPr>
              <w:ind w:left="44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Léky a zdravotní materiál pro uživatele</w:t>
            </w:r>
          </w:p>
        </w:tc>
        <w:tc>
          <w:tcPr>
            <w:tcW w:w="1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65F6E3" w14:textId="77777777" w:rsidR="009067AB" w:rsidRPr="00C14926" w:rsidRDefault="009067AB" w:rsidP="005803A7">
            <w:pPr>
              <w:ind w:left="4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2407" w14:textId="77777777" w:rsidR="009067AB" w:rsidRPr="00C14926" w:rsidRDefault="009067AB" w:rsidP="005803A7">
            <w:pPr>
              <w:ind w:left="254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120.000,-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F7E9" w14:textId="77777777" w:rsidR="009067AB" w:rsidRPr="00C14926" w:rsidRDefault="009067AB" w:rsidP="005803A7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7AB" w:rsidRPr="00B40B3C" w14:paraId="1C84A07C" w14:textId="77777777" w:rsidTr="005803A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B0D76D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558D2" w14:textId="77777777" w:rsidR="009067AB" w:rsidRPr="00C14926" w:rsidRDefault="009067AB" w:rsidP="005803A7">
            <w:pPr>
              <w:ind w:left="44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Pracovní Odě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D639B" w14:textId="77777777" w:rsidR="009067AB" w:rsidRPr="00C14926" w:rsidRDefault="009067AB" w:rsidP="005803A7">
            <w:pPr>
              <w:ind w:left="235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480.000,-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F9C4" w14:textId="77777777" w:rsidR="009067AB" w:rsidRPr="00C14926" w:rsidRDefault="009067AB" w:rsidP="005803A7">
            <w:pPr>
              <w:ind w:left="48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20.000,- Kč</w:t>
            </w:r>
          </w:p>
        </w:tc>
      </w:tr>
      <w:tr w:rsidR="009067AB" w:rsidRPr="00B40B3C" w14:paraId="1A2DDB20" w14:textId="77777777" w:rsidTr="005803A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0D6514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744D" w14:textId="77777777" w:rsidR="009067AB" w:rsidRPr="00C14926" w:rsidRDefault="009067AB" w:rsidP="005803A7">
            <w:pPr>
              <w:ind w:left="30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Aktivity s uživateli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9851E" w14:textId="77777777" w:rsidR="009067AB" w:rsidRPr="00C14926" w:rsidRDefault="009067AB" w:rsidP="005803A7">
            <w:pPr>
              <w:ind w:left="341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25.000,-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48CE3" w14:textId="77777777" w:rsidR="009067AB" w:rsidRPr="00C14926" w:rsidRDefault="009067AB" w:rsidP="005803A7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7AB" w:rsidRPr="00B40B3C" w14:paraId="6AC39A46" w14:textId="77777777" w:rsidTr="005803A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3C1B5C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2963A" w14:textId="77777777" w:rsidR="009067AB" w:rsidRPr="00C14926" w:rsidRDefault="009067AB" w:rsidP="005803A7">
            <w:pPr>
              <w:ind w:left="30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Ostatní materiál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A0802" w14:textId="77777777" w:rsidR="009067AB" w:rsidRPr="00C14926" w:rsidRDefault="009067AB" w:rsidP="005803A7">
            <w:pPr>
              <w:ind w:left="240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280.000,-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225DD" w14:textId="77777777" w:rsidR="009067AB" w:rsidRPr="00C14926" w:rsidRDefault="009067AB" w:rsidP="005803A7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7AB" w:rsidRPr="00B40B3C" w14:paraId="3270E568" w14:textId="77777777" w:rsidTr="005803A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026D88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0EF26" w14:textId="77777777" w:rsidR="009067AB" w:rsidRPr="00C14926" w:rsidRDefault="009067AB" w:rsidP="005803A7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Energie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3848" w14:textId="77777777" w:rsidR="009067AB" w:rsidRPr="00C14926" w:rsidRDefault="009067AB" w:rsidP="005803A7">
            <w:pPr>
              <w:ind w:left="77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2.530.000,-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2F3D5" w14:textId="77777777" w:rsidR="009067AB" w:rsidRPr="00C14926" w:rsidRDefault="009067AB" w:rsidP="005803A7">
            <w:pPr>
              <w:ind w:left="38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200.000,- Kč</w:t>
            </w:r>
          </w:p>
        </w:tc>
      </w:tr>
      <w:tr w:rsidR="009067AB" w:rsidRPr="00B40B3C" w14:paraId="1C27C30E" w14:textId="77777777" w:rsidTr="005803A7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01D9502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A397A" w14:textId="77777777" w:rsidR="009067AB" w:rsidRPr="00C14926" w:rsidRDefault="009067AB" w:rsidP="005803A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EFAA" w14:textId="77777777" w:rsidR="009067AB" w:rsidRPr="00C14926" w:rsidRDefault="009067AB" w:rsidP="005803A7">
            <w:pPr>
              <w:ind w:left="240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360.000,-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6076D" w14:textId="77777777" w:rsidR="009067AB" w:rsidRPr="00C14926" w:rsidRDefault="009067AB" w:rsidP="005803A7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7AB" w:rsidRPr="00B40B3C" w14:paraId="491DDCEF" w14:textId="77777777" w:rsidTr="005803A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72BD7D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C303E" w14:textId="77777777" w:rsidR="009067AB" w:rsidRPr="00C14926" w:rsidRDefault="009067AB" w:rsidP="005803A7">
            <w:pPr>
              <w:ind w:left="30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Cestovné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3671B" w14:textId="77777777" w:rsidR="009067AB" w:rsidRPr="00C14926" w:rsidRDefault="009067AB" w:rsidP="005803A7">
            <w:pPr>
              <w:ind w:left="341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63.000,-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75393" w14:textId="77777777" w:rsidR="009067AB" w:rsidRPr="00C14926" w:rsidRDefault="009067AB" w:rsidP="005803A7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7AB" w:rsidRPr="00B40B3C" w14:paraId="7D780E8D" w14:textId="77777777" w:rsidTr="005803A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B18EF3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B6C0" w14:textId="77777777" w:rsidR="009067AB" w:rsidRPr="00C14926" w:rsidRDefault="009067AB" w:rsidP="005803A7">
            <w:pPr>
              <w:ind w:left="35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Nájem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0BF9C" w14:textId="77777777" w:rsidR="009067AB" w:rsidRPr="00C14926" w:rsidRDefault="009067AB" w:rsidP="005803A7">
            <w:pPr>
              <w:ind w:left="341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71.000,-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3B809" w14:textId="77777777" w:rsidR="009067AB" w:rsidRPr="00C14926" w:rsidRDefault="009067AB" w:rsidP="005803A7">
            <w:pPr>
              <w:ind w:left="43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0,- Kč</w:t>
            </w:r>
          </w:p>
        </w:tc>
      </w:tr>
      <w:tr w:rsidR="009067AB" w:rsidRPr="00B40B3C" w14:paraId="5C814BEB" w14:textId="77777777" w:rsidTr="005803A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3CE6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3F8D5" w14:textId="77777777" w:rsidR="009067AB" w:rsidRPr="00C14926" w:rsidRDefault="009067AB" w:rsidP="005803A7">
            <w:pPr>
              <w:ind w:left="25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Ostatní služby, praní prádla, internet, software BOZP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C7B" w14:textId="77777777" w:rsidR="009067AB" w:rsidRPr="00C14926" w:rsidRDefault="009067AB" w:rsidP="005803A7">
            <w:pPr>
              <w:ind w:left="67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2.067.383,-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6E89" w14:textId="77777777" w:rsidR="009067AB" w:rsidRPr="00C14926" w:rsidRDefault="009067AB" w:rsidP="005803A7">
            <w:pPr>
              <w:ind w:left="48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130.000,- Kč</w:t>
            </w:r>
          </w:p>
        </w:tc>
      </w:tr>
      <w:tr w:rsidR="009067AB" w:rsidRPr="00B40B3C" w14:paraId="0727DB07" w14:textId="77777777" w:rsidTr="005803A7">
        <w:trPr>
          <w:trHeight w:val="302"/>
        </w:trPr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A6184" w14:textId="77777777" w:rsidR="009067AB" w:rsidRPr="00C14926" w:rsidRDefault="009067AB" w:rsidP="005803A7">
            <w:pPr>
              <w:ind w:left="72"/>
              <w:rPr>
                <w:szCs w:val="20"/>
              </w:rPr>
            </w:pPr>
            <w:r w:rsidRPr="00C14926">
              <w:rPr>
                <w:rFonts w:ascii="Calibri" w:eastAsia="Calibri" w:hAnsi="Calibri" w:cs="Calibri"/>
                <w:szCs w:val="20"/>
              </w:rPr>
              <w:t>3.</w:t>
            </w: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BFB6B" w14:textId="77777777" w:rsidR="009067AB" w:rsidRPr="00C14926" w:rsidRDefault="009067AB" w:rsidP="005803A7">
            <w:pPr>
              <w:ind w:left="25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Ostatní náklady celkem•: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8F204" w14:textId="77777777" w:rsidR="009067AB" w:rsidRPr="00C14926" w:rsidRDefault="009067AB" w:rsidP="005803A7">
            <w:pPr>
              <w:ind w:left="19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7.099.484,-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95B7F" w14:textId="77777777" w:rsidR="009067AB" w:rsidRPr="00C14926" w:rsidRDefault="009067AB" w:rsidP="005803A7">
            <w:pPr>
              <w:ind w:left="34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0,- Kč</w:t>
            </w:r>
          </w:p>
        </w:tc>
      </w:tr>
      <w:tr w:rsidR="009067AB" w:rsidRPr="00B40B3C" w14:paraId="392F10DD" w14:textId="77777777" w:rsidTr="005803A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0A3E63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82132" w14:textId="77777777" w:rsidR="009067AB" w:rsidRPr="00C14926" w:rsidRDefault="009067AB" w:rsidP="005803A7">
            <w:pPr>
              <w:ind w:left="30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Režie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7513" w14:textId="77777777" w:rsidR="009067AB" w:rsidRPr="00C14926" w:rsidRDefault="009067AB" w:rsidP="005803A7">
            <w:pPr>
              <w:ind w:left="67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6.215.340,-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E21B0" w14:textId="77777777" w:rsidR="009067AB" w:rsidRPr="00C14926" w:rsidRDefault="009067AB" w:rsidP="005803A7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67AB" w:rsidRPr="00B40B3C" w14:paraId="7AAE957A" w14:textId="77777777" w:rsidTr="005803A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A6C367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33B14" w14:textId="77777777" w:rsidR="009067AB" w:rsidRPr="00C14926" w:rsidRDefault="009067AB" w:rsidP="005803A7">
            <w:pPr>
              <w:ind w:left="20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Odpisy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E6759" w14:textId="77777777" w:rsidR="009067AB" w:rsidRPr="00C14926" w:rsidRDefault="009067AB" w:rsidP="005803A7">
            <w:pPr>
              <w:ind w:left="235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790.000,-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AF8C" w14:textId="77777777" w:rsidR="009067AB" w:rsidRPr="00C14926" w:rsidRDefault="009067AB" w:rsidP="005803A7">
            <w:pPr>
              <w:ind w:left="38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0,- Kč</w:t>
            </w:r>
          </w:p>
        </w:tc>
      </w:tr>
      <w:tr w:rsidR="009067AB" w:rsidRPr="00B40B3C" w14:paraId="5048D83C" w14:textId="77777777" w:rsidTr="005803A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960D5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49A6D" w14:textId="77777777" w:rsidR="009067AB" w:rsidRPr="00C14926" w:rsidRDefault="009067AB" w:rsidP="005803A7">
            <w:pPr>
              <w:ind w:left="16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Jiné náklady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39A4" w14:textId="77777777" w:rsidR="009067AB" w:rsidRPr="00C14926" w:rsidRDefault="009067AB" w:rsidP="005803A7">
            <w:pPr>
              <w:ind w:left="341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eastAsia="Calibri" w:hAnsiTheme="minorHAnsi" w:cstheme="minorHAnsi"/>
                <w:szCs w:val="20"/>
              </w:rPr>
              <w:t>94.144,- KC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10DBC" w14:textId="77777777" w:rsidR="009067AB" w:rsidRPr="00C14926" w:rsidRDefault="009067AB" w:rsidP="005803A7">
            <w:pPr>
              <w:ind w:left="38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0,- Kč</w:t>
            </w:r>
          </w:p>
        </w:tc>
      </w:tr>
      <w:tr w:rsidR="009067AB" w:rsidRPr="00B40B3C" w14:paraId="27AE2A11" w14:textId="77777777" w:rsidTr="005803A7">
        <w:trPr>
          <w:trHeight w:val="312"/>
        </w:trPr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C6811" w14:textId="77777777" w:rsidR="009067AB" w:rsidRPr="00C14926" w:rsidRDefault="009067AB" w:rsidP="005803A7">
            <w:pPr>
              <w:rPr>
                <w:szCs w:val="20"/>
              </w:rPr>
            </w:pPr>
          </w:p>
        </w:tc>
        <w:tc>
          <w:tcPr>
            <w:tcW w:w="3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107BA" w14:textId="77777777" w:rsidR="009067AB" w:rsidRPr="00C14926" w:rsidRDefault="009067AB" w:rsidP="005803A7">
            <w:pPr>
              <w:ind w:left="30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Náklady celkem: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24336" w14:textId="77777777" w:rsidR="009067AB" w:rsidRPr="00C14926" w:rsidRDefault="009067AB" w:rsidP="005803A7">
            <w:pPr>
              <w:ind w:left="19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58.009.843,- Kč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943E2" w14:textId="734BCA19" w:rsidR="009067AB" w:rsidRPr="00C14926" w:rsidRDefault="009067AB" w:rsidP="005803A7">
            <w:pPr>
              <w:ind w:left="14"/>
              <w:jc w:val="right"/>
              <w:rPr>
                <w:rFonts w:asciiTheme="minorHAnsi" w:hAnsiTheme="minorHAnsi" w:cstheme="minorHAnsi"/>
                <w:szCs w:val="20"/>
              </w:rPr>
            </w:pPr>
            <w:r w:rsidRPr="00C14926">
              <w:rPr>
                <w:rFonts w:asciiTheme="minorHAnsi" w:hAnsiTheme="minorHAnsi" w:cstheme="minorHAnsi"/>
                <w:szCs w:val="20"/>
              </w:rPr>
              <w:t>420.000,- Kč</w:t>
            </w:r>
          </w:p>
        </w:tc>
      </w:tr>
    </w:tbl>
    <w:p w14:paraId="3BE99945" w14:textId="008AD659" w:rsidR="00E0260B" w:rsidRPr="00185A44" w:rsidRDefault="00E0260B" w:rsidP="00EE367F">
      <w:pPr>
        <w:pStyle w:val="Zkladntext"/>
        <w:widowControl w:val="0"/>
        <w:spacing w:before="120"/>
        <w:rPr>
          <w:rFonts w:cs="Arial"/>
          <w:bCs/>
          <w:color w:val="0070C0"/>
          <w:sz w:val="22"/>
        </w:rPr>
      </w:pPr>
    </w:p>
    <w:p w14:paraId="47F328DC" w14:textId="56734E4C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D95AC6E" w14:textId="77777777" w:rsidR="009067AB" w:rsidRDefault="009067AB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>
        <w:rPr>
          <w:rFonts w:cs="Arial"/>
          <w:bCs/>
          <w:sz w:val="22"/>
        </w:rPr>
        <w:br/>
      </w:r>
      <w:r>
        <w:rPr>
          <w:rFonts w:cs="Arial"/>
          <w:bCs/>
          <w:sz w:val="22"/>
        </w:rPr>
        <w:br/>
      </w:r>
    </w:p>
    <w:p w14:paraId="4A07A0B1" w14:textId="77777777" w:rsidR="009067AB" w:rsidRDefault="009067AB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553B7731" w14:textId="77777777" w:rsidR="009067AB" w:rsidRDefault="009067AB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250D109E" w14:textId="77777777" w:rsidR="009067AB" w:rsidRDefault="009067AB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794DEB84" w14:textId="77777777" w:rsidR="009067AB" w:rsidRDefault="009067AB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</w:p>
    <w:p w14:paraId="64A68D14" w14:textId="77777777" w:rsidR="009067AB" w:rsidRDefault="009067AB" w:rsidP="009067AB">
      <w:pPr>
        <w:pStyle w:val="Zkladntext"/>
        <w:widowControl w:val="0"/>
        <w:spacing w:before="120" w:after="480"/>
        <w:rPr>
          <w:rFonts w:cs="Arial"/>
          <w:bCs/>
          <w:sz w:val="22"/>
        </w:rPr>
      </w:pPr>
      <w:r>
        <w:rPr>
          <w:rFonts w:cs="Arial"/>
          <w:bCs/>
          <w:sz w:val="22"/>
        </w:rPr>
        <w:br/>
      </w:r>
      <w:r>
        <w:rPr>
          <w:rFonts w:cs="Arial"/>
          <w:bCs/>
          <w:sz w:val="22"/>
        </w:rPr>
        <w:br/>
      </w:r>
      <w:r>
        <w:rPr>
          <w:rFonts w:cs="Arial"/>
          <w:bCs/>
          <w:sz w:val="22"/>
        </w:rPr>
        <w:br/>
      </w:r>
      <w:r>
        <w:rPr>
          <w:rFonts w:cs="Arial"/>
          <w:bCs/>
          <w:sz w:val="22"/>
        </w:rPr>
        <w:br/>
      </w:r>
      <w:r>
        <w:rPr>
          <w:rFonts w:cs="Arial"/>
          <w:bCs/>
          <w:sz w:val="22"/>
        </w:rPr>
        <w:br/>
      </w:r>
      <w:r>
        <w:rPr>
          <w:rFonts w:cs="Arial"/>
          <w:bCs/>
          <w:sz w:val="22"/>
        </w:rPr>
        <w:br/>
      </w:r>
      <w:r>
        <w:rPr>
          <w:rFonts w:cs="Arial"/>
          <w:bCs/>
          <w:sz w:val="22"/>
        </w:rPr>
        <w:br/>
      </w:r>
    </w:p>
    <w:p w14:paraId="686B7220" w14:textId="77777777" w:rsidR="009067AB" w:rsidRDefault="009067AB" w:rsidP="009067AB">
      <w:pPr>
        <w:pStyle w:val="Zkladntext"/>
        <w:widowControl w:val="0"/>
        <w:spacing w:before="120" w:after="480"/>
        <w:rPr>
          <w:rFonts w:cs="Arial"/>
          <w:bCs/>
          <w:sz w:val="22"/>
        </w:rPr>
      </w:pPr>
    </w:p>
    <w:p w14:paraId="4DC51BC9" w14:textId="77777777" w:rsidR="009067AB" w:rsidRDefault="009067AB" w:rsidP="009067AB">
      <w:pPr>
        <w:pStyle w:val="Zkladntext"/>
        <w:widowControl w:val="0"/>
        <w:spacing w:before="120" w:after="480"/>
        <w:rPr>
          <w:rFonts w:cs="Arial"/>
          <w:bCs/>
          <w:sz w:val="22"/>
        </w:rPr>
      </w:pPr>
    </w:p>
    <w:p w14:paraId="307B248A" w14:textId="77777777" w:rsidR="009067AB" w:rsidRDefault="009067AB" w:rsidP="009067AB">
      <w:pPr>
        <w:pStyle w:val="Zkladntext"/>
        <w:widowControl w:val="0"/>
        <w:spacing w:before="120" w:after="480"/>
        <w:rPr>
          <w:rFonts w:cs="Arial"/>
          <w:bCs/>
          <w:sz w:val="22"/>
        </w:rPr>
      </w:pPr>
    </w:p>
    <w:p w14:paraId="54C1117F" w14:textId="77777777" w:rsidR="009067AB" w:rsidRDefault="009067AB" w:rsidP="009067AB">
      <w:pPr>
        <w:pStyle w:val="Zkladntext"/>
        <w:widowControl w:val="0"/>
        <w:spacing w:before="120" w:after="480"/>
        <w:rPr>
          <w:rFonts w:cs="Arial"/>
          <w:bCs/>
          <w:sz w:val="22"/>
        </w:rPr>
      </w:pPr>
    </w:p>
    <w:p w14:paraId="4AD7A0E6" w14:textId="77777777" w:rsidR="009067AB" w:rsidRDefault="009067AB" w:rsidP="009067AB">
      <w:pPr>
        <w:pStyle w:val="Zkladntext"/>
        <w:widowControl w:val="0"/>
        <w:spacing w:before="120" w:after="480"/>
        <w:rPr>
          <w:rFonts w:cs="Arial"/>
          <w:bCs/>
          <w:sz w:val="22"/>
        </w:rPr>
      </w:pPr>
    </w:p>
    <w:p w14:paraId="2C7D2019" w14:textId="4E816FD5" w:rsidR="00542070" w:rsidRPr="009067AB" w:rsidRDefault="009067AB" w:rsidP="009067AB">
      <w:pPr>
        <w:pStyle w:val="Zkladntext"/>
        <w:widowControl w:val="0"/>
        <w:spacing w:before="120" w:after="480"/>
        <w:rPr>
          <w:rFonts w:cs="Arial"/>
          <w:bCs/>
          <w:sz w:val="22"/>
        </w:rPr>
      </w:pPr>
      <w:r>
        <w:rPr>
          <w:rFonts w:cs="Arial"/>
          <w:bCs/>
          <w:sz w:val="22"/>
        </w:rPr>
        <w:br/>
      </w:r>
      <w:r w:rsidR="002D43D5" w:rsidRPr="00A353B1">
        <w:rPr>
          <w:rFonts w:cs="Arial"/>
          <w:bCs/>
          <w:sz w:val="22"/>
        </w:rPr>
        <w:t>přičemž je možno se odchýlit od tohoto rozpočtu tak, že lze navýšit 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="002D43D5"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="002D43D5"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66C57CBE" w14:textId="013393FB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9067AB">
        <w:rPr>
          <w:rFonts w:cs="Arial"/>
          <w:b/>
          <w:bCs/>
          <w:color w:val="000000"/>
          <w:sz w:val="22"/>
        </w:rPr>
        <w:t>3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66D25688" w14:textId="2D90482A" w:rsidR="007C0753" w:rsidRDefault="007C0753" w:rsidP="005A1FD3">
      <w:pPr>
        <w:pStyle w:val="Zhlav"/>
        <w:rPr>
          <w:sz w:val="24"/>
        </w:rPr>
      </w:pPr>
    </w:p>
    <w:p w14:paraId="132D3C17" w14:textId="77777777" w:rsidR="00EA4636" w:rsidRDefault="00EA4636" w:rsidP="005A1FD3">
      <w:pPr>
        <w:pStyle w:val="Zhlav"/>
        <w:rPr>
          <w:sz w:val="24"/>
        </w:rPr>
      </w:pPr>
    </w:p>
    <w:p w14:paraId="136FE82A" w14:textId="77777777" w:rsidR="007C0753" w:rsidRDefault="007C0753" w:rsidP="005A1FD3">
      <w:pPr>
        <w:pStyle w:val="Zhlav"/>
        <w:rPr>
          <w:sz w:val="24"/>
        </w:rPr>
      </w:pPr>
    </w:p>
    <w:p w14:paraId="67A99731" w14:textId="77777777" w:rsidR="001136AE" w:rsidRDefault="001136AE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16A60FDB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9067AB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9067AB">
        <w:rPr>
          <w:rFonts w:cs="Arial"/>
          <w:b/>
          <w:sz w:val="22"/>
        </w:rPr>
        <w:t>4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01291B5D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9067AB">
        <w:rPr>
          <w:rFonts w:cs="Arial"/>
          <w:b/>
          <w:sz w:val="22"/>
        </w:rPr>
        <w:t>1584312022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28D6FF42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EA4636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554508BB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EA4636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277D9725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067AB">
        <w:rPr>
          <w:rFonts w:cs="Arial"/>
          <w:b/>
          <w:sz w:val="22"/>
        </w:rPr>
        <w:t>3</w:t>
      </w:r>
      <w:proofErr w:type="gramEnd"/>
      <w:r w:rsidR="009067AB">
        <w:rPr>
          <w:rFonts w:cs="Arial"/>
          <w:b/>
          <w:sz w:val="22"/>
        </w:rPr>
        <w:t xml:space="preserve"> </w:t>
      </w:r>
      <w:r w:rsidR="00581067" w:rsidRPr="00C25A2F">
        <w:rPr>
          <w:rFonts w:cs="Arial"/>
          <w:b/>
          <w:sz w:val="22"/>
        </w:rPr>
        <w:t xml:space="preserve">do </w:t>
      </w:r>
      <w:r w:rsidR="004761C3" w:rsidRPr="00C25A2F">
        <w:rPr>
          <w:rFonts w:cs="Arial"/>
          <w:b/>
          <w:sz w:val="22"/>
        </w:rPr>
        <w:t>31.12.202</w:t>
      </w:r>
      <w:r w:rsidR="009067AB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9067AB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9067AB">
        <w:rPr>
          <w:rFonts w:cs="Arial"/>
          <w:b/>
          <w:sz w:val="22"/>
        </w:rPr>
        <w:t>3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54E0945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EA4636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393A002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EA463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740F74DC" w:rsidR="006B3E23" w:rsidRPr="00C14926" w:rsidRDefault="006B3E23" w:rsidP="00C14926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C14926">
        <w:rPr>
          <w:rFonts w:cs="Arial"/>
          <w:sz w:val="22"/>
        </w:rPr>
        <w:t xml:space="preserve"> </w:t>
      </w:r>
      <w:r w:rsidRPr="00C14926">
        <w:rPr>
          <w:rFonts w:cs="Arial"/>
          <w:sz w:val="22"/>
        </w:rPr>
        <w:t xml:space="preserve">kázně stanoví ve výši </w:t>
      </w:r>
      <w:r w:rsidRPr="00C14926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6415777C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1136AE">
        <w:rPr>
          <w:rFonts w:cs="Arial"/>
          <w:b/>
          <w:sz w:val="22"/>
        </w:rPr>
        <w:t>07996</w:t>
      </w:r>
      <w:r w:rsidR="003046E6" w:rsidRPr="009279E4">
        <w:rPr>
          <w:rFonts w:cs="Arial"/>
          <w:b/>
          <w:sz w:val="22"/>
        </w:rPr>
        <w:t>/2020/SOC</w:t>
      </w:r>
      <w:r w:rsidRPr="009279E4">
        <w:rPr>
          <w:rFonts w:cs="Arial"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č. 340/2015 Sb., o zvláštních podmínkách účinnosti některých smluv, uveřejňování těchto </w:t>
      </w:r>
      <w:r w:rsidRPr="002F583F">
        <w:rPr>
          <w:rFonts w:cs="Arial"/>
          <w:sz w:val="22"/>
        </w:rPr>
        <w:lastRenderedPageBreak/>
        <w:t>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0F6401C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4A5EDB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6B1E2537" w14:textId="4A1FFFF6" w:rsidR="00565F02" w:rsidRDefault="00565F02" w:rsidP="00EA4636">
      <w:pPr>
        <w:widowControl w:val="0"/>
        <w:spacing w:after="0"/>
        <w:rPr>
          <w:rFonts w:cs="Arial"/>
          <w:sz w:val="22"/>
        </w:rPr>
      </w:pPr>
    </w:p>
    <w:p w14:paraId="60C8D5CF" w14:textId="0E40A95B" w:rsidR="00565F02" w:rsidRDefault="00565F0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31122468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6450BE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6450BE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C14926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C14926">
        <w:rPr>
          <w:rFonts w:cs="Arial"/>
          <w:sz w:val="22"/>
        </w:rPr>
        <w:t xml:space="preserve"> 91</w:t>
      </w:r>
      <w:r w:rsidR="00EA4636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C14926">
        <w:rPr>
          <w:rFonts w:cs="Arial"/>
          <w:sz w:val="22"/>
        </w:rPr>
        <w:t xml:space="preserve"> </w:t>
      </w:r>
      <w:proofErr w:type="gramStart"/>
      <w:r w:rsidR="00C14926">
        <w:rPr>
          <w:rFonts w:cs="Arial"/>
          <w:sz w:val="22"/>
        </w:rPr>
        <w:t>20.03.2023</w:t>
      </w:r>
      <w:proofErr w:type="gramEnd"/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21AFAA82" w14:textId="77777777" w:rsidR="00C14926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</w:t>
      </w:r>
    </w:p>
    <w:p w14:paraId="3ED2AEBB" w14:textId="08618ECB" w:rsidR="00F50251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7E13F856" w14:textId="77777777" w:rsidR="006450BE" w:rsidRPr="002F583F" w:rsidRDefault="006450BE" w:rsidP="00F50251">
      <w:pPr>
        <w:rPr>
          <w:rFonts w:cs="Arial"/>
          <w:b/>
          <w:sz w:val="22"/>
        </w:rPr>
      </w:pP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6441467" w:rsidR="00F50251" w:rsidRDefault="00F50251" w:rsidP="00F50251">
      <w:pPr>
        <w:rPr>
          <w:rFonts w:cs="Arial"/>
          <w:sz w:val="22"/>
        </w:rPr>
      </w:pPr>
    </w:p>
    <w:p w14:paraId="2CCFAF5A" w14:textId="0ADD6752" w:rsidR="00C14926" w:rsidRDefault="00C14926" w:rsidP="00F50251">
      <w:pPr>
        <w:rPr>
          <w:rFonts w:cs="Arial"/>
          <w:sz w:val="22"/>
        </w:rPr>
      </w:pPr>
    </w:p>
    <w:p w14:paraId="4E58872C" w14:textId="23A84537" w:rsidR="00C14926" w:rsidRPr="002F583F" w:rsidRDefault="00C14926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252B1FE8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1136AE">
        <w:rPr>
          <w:rFonts w:cs="Arial"/>
          <w:sz w:val="22"/>
        </w:rPr>
        <w:t>Ing. Bc</w:t>
      </w:r>
      <w:r w:rsidR="00287A6A">
        <w:rPr>
          <w:rFonts w:cs="Arial"/>
          <w:sz w:val="22"/>
        </w:rPr>
        <w:t>.</w:t>
      </w:r>
      <w:r w:rsidR="001136AE">
        <w:rPr>
          <w:rFonts w:cs="Arial"/>
          <w:sz w:val="22"/>
        </w:rPr>
        <w:t xml:space="preserve"> Hana </w:t>
      </w:r>
      <w:proofErr w:type="spellStart"/>
      <w:r w:rsidR="001136AE">
        <w:rPr>
          <w:rFonts w:cs="Arial"/>
          <w:sz w:val="22"/>
        </w:rPr>
        <w:t>Buříková</w:t>
      </w:r>
      <w:proofErr w:type="spellEnd"/>
    </w:p>
    <w:p w14:paraId="2F93F247" w14:textId="1207ADDA" w:rsidR="00C25A2F" w:rsidRDefault="00C25A2F" w:rsidP="001136AE">
      <w:pPr>
        <w:spacing w:after="80"/>
        <w:jc w:val="left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EA4636">
        <w:rPr>
          <w:rFonts w:cs="Arial"/>
          <w:sz w:val="22"/>
        </w:rPr>
        <w:t xml:space="preserve">                  oblastní ekonom</w:t>
      </w:r>
    </w:p>
    <w:p w14:paraId="7364942D" w14:textId="77777777" w:rsidR="00081528" w:rsidRDefault="00081528" w:rsidP="00724AB2">
      <w:pPr>
        <w:ind w:left="-426"/>
      </w:pPr>
    </w:p>
    <w:p w14:paraId="6DDB13F4" w14:textId="4AA86A9F" w:rsidR="00081528" w:rsidRDefault="00081528" w:rsidP="00724AB2">
      <w:pPr>
        <w:ind w:left="-426"/>
      </w:pPr>
    </w:p>
    <w:p w14:paraId="3A0F2629" w14:textId="29414F2E" w:rsidR="003046E6" w:rsidRDefault="003046E6" w:rsidP="00724AB2">
      <w:pPr>
        <w:ind w:left="-426"/>
      </w:pPr>
    </w:p>
    <w:p w14:paraId="49875A06" w14:textId="4C97B10C" w:rsidR="003046E6" w:rsidRDefault="003046E6" w:rsidP="00724AB2">
      <w:pPr>
        <w:ind w:left="-426"/>
      </w:pPr>
    </w:p>
    <w:p w14:paraId="727004A7" w14:textId="67F452A8" w:rsidR="003046E6" w:rsidRDefault="003046E6" w:rsidP="00724AB2">
      <w:pPr>
        <w:ind w:left="-426"/>
      </w:pPr>
    </w:p>
    <w:p w14:paraId="2313E5A1" w14:textId="4244824A" w:rsidR="003046E6" w:rsidRDefault="003046E6" w:rsidP="00724AB2">
      <w:pPr>
        <w:ind w:left="-426"/>
      </w:pPr>
    </w:p>
    <w:p w14:paraId="59472C38" w14:textId="309763F2" w:rsidR="003046E6" w:rsidRDefault="003046E6" w:rsidP="00724AB2">
      <w:pPr>
        <w:ind w:left="-426"/>
      </w:pPr>
    </w:p>
    <w:p w14:paraId="3AE20A57" w14:textId="4C430D7E" w:rsidR="003046E6" w:rsidRDefault="003046E6" w:rsidP="00724AB2">
      <w:pPr>
        <w:ind w:left="-426"/>
      </w:pPr>
    </w:p>
    <w:p w14:paraId="43696A0C" w14:textId="12DDD646" w:rsidR="003046E6" w:rsidRDefault="003046E6" w:rsidP="00724AB2">
      <w:pPr>
        <w:ind w:left="-426"/>
      </w:pPr>
    </w:p>
    <w:p w14:paraId="6969C4F7" w14:textId="7321525B" w:rsidR="003046E6" w:rsidRDefault="003046E6" w:rsidP="00724AB2">
      <w:pPr>
        <w:ind w:left="-426"/>
      </w:pPr>
    </w:p>
    <w:p w14:paraId="606165C4" w14:textId="5B6AFAD3" w:rsidR="00EA4636" w:rsidRDefault="00EA4636" w:rsidP="00724AB2">
      <w:pPr>
        <w:ind w:left="-426"/>
      </w:pPr>
    </w:p>
    <w:p w14:paraId="3225635E" w14:textId="6F85B208" w:rsidR="00EA4636" w:rsidRDefault="00EA4636" w:rsidP="00724AB2">
      <w:pPr>
        <w:ind w:left="-426"/>
      </w:pPr>
    </w:p>
    <w:p w14:paraId="770BE08D" w14:textId="05178DFF" w:rsidR="00EA4636" w:rsidRDefault="00EA4636" w:rsidP="00724AB2">
      <w:pPr>
        <w:ind w:left="-426"/>
      </w:pPr>
    </w:p>
    <w:p w14:paraId="0F842AC6" w14:textId="07C5505D" w:rsidR="006450BE" w:rsidRDefault="006450BE" w:rsidP="006450BE">
      <w:bookmarkStart w:id="2" w:name="_GoBack"/>
      <w:bookmarkEnd w:id="2"/>
    </w:p>
    <w:p w14:paraId="44C541EE" w14:textId="587805D2" w:rsidR="00F17955" w:rsidRDefault="00F17955" w:rsidP="006450BE"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6BCB5" w14:textId="77777777" w:rsidR="003B6F1F" w:rsidRDefault="003B6F1F" w:rsidP="00944058">
      <w:r>
        <w:separator/>
      </w:r>
    </w:p>
  </w:endnote>
  <w:endnote w:type="continuationSeparator" w:id="0">
    <w:p w14:paraId="6C67D660" w14:textId="77777777" w:rsidR="003B6F1F" w:rsidRDefault="003B6F1F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681470F2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A4636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A4636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4709ADDC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A4636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A4636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B28AB" w14:textId="77777777" w:rsidR="003B6F1F" w:rsidRDefault="003B6F1F" w:rsidP="00944058">
      <w:r>
        <w:separator/>
      </w:r>
    </w:p>
  </w:footnote>
  <w:footnote w:type="continuationSeparator" w:id="0">
    <w:p w14:paraId="34838762" w14:textId="77777777" w:rsidR="003B6F1F" w:rsidRDefault="003B6F1F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04AA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36AE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302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51DF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637E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40165"/>
    <w:rsid w:val="00341E19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B6F1F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5EDB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49FD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710E"/>
    <w:rsid w:val="005E0E2A"/>
    <w:rsid w:val="005F1ACF"/>
    <w:rsid w:val="005F1BCB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0BE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579B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0753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17687"/>
    <w:rsid w:val="00820ACC"/>
    <w:rsid w:val="008228E6"/>
    <w:rsid w:val="00824DE0"/>
    <w:rsid w:val="00825809"/>
    <w:rsid w:val="00827151"/>
    <w:rsid w:val="00827983"/>
    <w:rsid w:val="00831346"/>
    <w:rsid w:val="00831E48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2ADE"/>
    <w:rsid w:val="00903393"/>
    <w:rsid w:val="00903DC1"/>
    <w:rsid w:val="009067AB"/>
    <w:rsid w:val="009149CC"/>
    <w:rsid w:val="00922C36"/>
    <w:rsid w:val="009279E4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201B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008F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4926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29CA"/>
    <w:rsid w:val="00D14F24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1548"/>
    <w:rsid w:val="00E0260B"/>
    <w:rsid w:val="00E035D9"/>
    <w:rsid w:val="00E03A54"/>
    <w:rsid w:val="00E1071E"/>
    <w:rsid w:val="00E125C0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36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9067AB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07CFE"/>
    <w:rsid w:val="000C4B80"/>
    <w:rsid w:val="001372D4"/>
    <w:rsid w:val="002420B3"/>
    <w:rsid w:val="002B46AE"/>
    <w:rsid w:val="00362ED9"/>
    <w:rsid w:val="004A3656"/>
    <w:rsid w:val="00521A57"/>
    <w:rsid w:val="005E554A"/>
    <w:rsid w:val="00677F26"/>
    <w:rsid w:val="006C7373"/>
    <w:rsid w:val="007560A4"/>
    <w:rsid w:val="0095787F"/>
    <w:rsid w:val="009774E8"/>
    <w:rsid w:val="00C11674"/>
    <w:rsid w:val="00C95A76"/>
    <w:rsid w:val="00D00F1E"/>
    <w:rsid w:val="00D034BF"/>
    <w:rsid w:val="00D304A8"/>
    <w:rsid w:val="00DD23BC"/>
    <w:rsid w:val="00E55DCA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DB34-95EC-4EE0-9F49-1CE6517E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2474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8</cp:revision>
  <cp:lastPrinted>2021-11-22T14:16:00Z</cp:lastPrinted>
  <dcterms:created xsi:type="dcterms:W3CDTF">2023-01-05T09:52:00Z</dcterms:created>
  <dcterms:modified xsi:type="dcterms:W3CDTF">2023-04-13T08:09:00Z</dcterms:modified>
  <cp:category>MMK.01.02.01</cp:category>
</cp:coreProperties>
</file>