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B29" w:rsidRDefault="00B65B29" w:rsidP="00B65B29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Priloha</w:t>
      </w:r>
      <w:proofErr w:type="spellEnd"/>
      <w:r>
        <w:rPr>
          <w:rFonts w:ascii="Arial" w:hAnsi="Arial" w:cs="Arial"/>
          <w:sz w:val="15"/>
          <w:szCs w:val="15"/>
        </w:rPr>
        <w:t xml:space="preserve"> c. 1 SOD c. 37/2023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STAVBY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 70889988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Povodí Ohře, státní podnik DIČ: CZ70889988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Uchazeč: IČ: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 CZ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 26475081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Sweco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Hydroprojekt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a.s. DIČ: CZ26475081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 Vodohospodářské stavby a.s. DIČ: CZ 116 37 471</w:t>
      </w:r>
      <w:bookmarkStart w:id="0" w:name="_GoBack"/>
      <w:bookmarkEnd w:id="0"/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Uchazeč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134 695,69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Nechr_2022_05_12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VD Nechranice rekonstrukce bezpečnostního přelivu, právě </w:t>
      </w:r>
      <w:proofErr w:type="gramStart"/>
      <w:r>
        <w:rPr>
          <w:rFonts w:ascii="CIDFont+F1" w:hAnsi="CIDFont+F1" w:cs="CIDFont+F1"/>
          <w:sz w:val="17"/>
          <w:szCs w:val="17"/>
        </w:rPr>
        <w:t>pole - sanace</w:t>
      </w:r>
      <w:proofErr w:type="gramEnd"/>
      <w:r>
        <w:rPr>
          <w:rFonts w:ascii="CIDFont+F1" w:hAnsi="CIDFont+F1" w:cs="CIDFont+F1"/>
          <w:sz w:val="17"/>
          <w:szCs w:val="17"/>
        </w:rPr>
        <w:t xml:space="preserve">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 Vodohospodářské stavby 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Soupis prací je sestaven s využitím Cenové soustavy ÚRS. Položky, které pochází z této cenové soustavy, jsou ve sloupci 'Cenová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soustava' označeny popisem 'CS ÚRS' a úrovní příslušného kalendářního pololetí. Veškeré další informace vymezující popis a podmínky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použití těchto položek z Cenové soustavy, které nejsou uvedeny přímo v soupisu prací, jsou neomezeně dálkově k dispozici na webu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podminky.urs.cz. CU 2022/I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111 318,75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111 318,75 23 376,94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Nechr_2022_05_12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Povodí Ohře, státní podnik Projektant: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Uchazeč: SMP Vodohospodářské stavby a.s. Zpracovatel: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 rozpočtů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VD Nechranice rekonstrukce bezpečnostního přelivu, právě </w:t>
      </w:r>
      <w:proofErr w:type="gramStart"/>
      <w:r>
        <w:rPr>
          <w:rFonts w:ascii="CIDFont+F1" w:hAnsi="CIDFont+F1" w:cs="CIDFont+F1"/>
          <w:sz w:val="17"/>
          <w:szCs w:val="17"/>
        </w:rPr>
        <w:t>pole - sanace</w:t>
      </w:r>
      <w:proofErr w:type="gramEnd"/>
      <w:r>
        <w:rPr>
          <w:rFonts w:ascii="CIDFont+F1" w:hAnsi="CIDFont+F1" w:cs="CIDFont+F1"/>
          <w:sz w:val="17"/>
          <w:szCs w:val="17"/>
        </w:rPr>
        <w:t xml:space="preserve">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Sweco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Hydroprojekt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 Vodohospodářské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stavby 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01 Sanace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 </w:t>
      </w:r>
      <w:r>
        <w:rPr>
          <w:rFonts w:ascii="CIDFont+F2" w:hAnsi="CIDFont+F2" w:cs="CIDFont+F2"/>
          <w:sz w:val="17"/>
          <w:szCs w:val="17"/>
        </w:rPr>
        <w:t>111 318,75 134 695,69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111 318,75 134 695,69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 70889988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Povodí Ohře, státní podnik DIČ: CZ70889988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Uchazeč: IČ: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 CZ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 26475081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Sweco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Hydroprojekt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a.s. DIČ: CZ26475081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 Vodohospodářské stavby a.s. DIČ: CZ 116 37 471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111 318,75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111 318,75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23 376,94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134 695,69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Uchazeč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Datum a podpis: Razítko Datum a podpis: Razítko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Nechranice rekonstrukce bezpečnostního přelivu, právě </w:t>
      </w:r>
      <w:proofErr w:type="gramStart"/>
      <w:r>
        <w:rPr>
          <w:rFonts w:ascii="CIDFont+F2" w:hAnsi="CIDFont+F2" w:cs="CIDFont+F2"/>
          <w:sz w:val="15"/>
          <w:szCs w:val="15"/>
        </w:rPr>
        <w:t>pole - sanace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prusaků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01 - Sanace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 Vodohospodářské stavby 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3 z 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Povodí Ohře, státní podnik Projektant: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Sweco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Hydroprojekt</w:t>
      </w:r>
      <w:proofErr w:type="spellEnd"/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Uchazeč: SMP Vodohospodářské stavby a.s. Zpracovatel: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Vodohospodářské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111 318,75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HSV - Práce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dodávky HSV 62 806,25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11 437,50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6 - Úpravy povrchů, podlahy a osazování výplní 1 050,00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29 681,25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7 400,00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13 237,50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PSV - Práce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dodávky PSV 4 762,50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789 - Povrchové úpravy ocelových konstrukcí a technologických zařízení 4 762,50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rozpočtové náklady 43 750,00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VRN6 - Územní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vlivy 43 750,00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01 - Sanace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Nechranice rekonstrukce bezpečnostního přelivu, právě </w:t>
      </w:r>
      <w:proofErr w:type="gramStart"/>
      <w:r>
        <w:rPr>
          <w:rFonts w:ascii="CIDFont+F2" w:hAnsi="CIDFont+F2" w:cs="CIDFont+F2"/>
          <w:sz w:val="15"/>
          <w:szCs w:val="15"/>
        </w:rPr>
        <w:t>pole - sanace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prusaků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4 z 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Povodí Ohře, státní podnik Projektant: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Sweco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Hydroprojekt</w:t>
      </w:r>
      <w:proofErr w:type="spellEnd"/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a.s.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Uchazeč: SMP Vodohospodářské stavby a.s. Zpracovatel: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SMP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Vodohospodářské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111 318,75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HSV Práce a dodávky HSV 62 806,25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11 437,50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 K 32131111R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Konstrukce vodních staveb z betonu prostého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mrazuvzdorného tř. C 25/30, ukládáno ručně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samohutnitelný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beton SF3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0,225 37 500,00 8 437,50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Vyplnění prostoru betonem C 25/30, ukládáno ručně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0,15*0,5+0.5*0.3 0,225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0,225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 K 32135103R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Bednění konstrukcí vodních staveb </w:t>
      </w:r>
      <w:proofErr w:type="gramStart"/>
      <w:r>
        <w:rPr>
          <w:rFonts w:ascii="CIDFont+F2" w:hAnsi="CIDFont+F2" w:cs="CIDFont+F2"/>
          <w:sz w:val="14"/>
          <w:szCs w:val="14"/>
        </w:rPr>
        <w:t xml:space="preserve">atypické - </w:t>
      </w:r>
      <w:proofErr w:type="spellStart"/>
      <w:r>
        <w:rPr>
          <w:rFonts w:ascii="CIDFont+F2" w:hAnsi="CIDFont+F2" w:cs="CIDFont+F2"/>
          <w:sz w:val="14"/>
          <w:szCs w:val="14"/>
        </w:rPr>
        <w:t>zřízenísamozhutnitelný</w:t>
      </w:r>
      <w:proofErr w:type="spellEnd"/>
      <w:proofErr w:type="gramEnd"/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beton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0,300 4 375,00 1 312,50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0,5*0,6 0,300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0,300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32135203R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Bednění konstrukcí vodních staveb atypické -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odstranění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0,300 5 625,00 1 687,50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6 Úpravy povrchů, podlahy a osazování výplní 1 050,00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 K 62861322R Protikorozní ochrana OK m2 0,300 3 500,00 1 050,00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Protikorozní ochrana ocelových konstrukcí včetně </w:t>
      </w:r>
      <w:proofErr w:type="spellStart"/>
      <w:r>
        <w:rPr>
          <w:rFonts w:ascii="CIDFont+F4" w:hAnsi="CIDFont+F4" w:cs="CIDFont+F4"/>
          <w:sz w:val="11"/>
          <w:szCs w:val="11"/>
        </w:rPr>
        <w:t>otryskání</w:t>
      </w:r>
      <w:proofErr w:type="spellEnd"/>
      <w:r>
        <w:rPr>
          <w:rFonts w:ascii="CIDFont+F4" w:hAnsi="CIDFont+F4" w:cs="CIDFont+F4"/>
          <w:sz w:val="11"/>
          <w:szCs w:val="11"/>
        </w:rPr>
        <w:t xml:space="preserve"> povrchu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protikorozní nátěr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29 681,25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5 K 985112111R Odsekání degradovaného betonu stěn </w:t>
      </w:r>
      <w:proofErr w:type="spellStart"/>
      <w:r>
        <w:rPr>
          <w:rFonts w:ascii="CIDFont+F2" w:hAnsi="CIDFont+F2" w:cs="CIDFont+F2"/>
          <w:sz w:val="14"/>
          <w:szCs w:val="14"/>
        </w:rPr>
        <w:t>tl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do 10 mm m2 1,500 1 187,50 1 781,25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Odsekání degradovaného betonu stěn, tloušťky do 10 mm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https://podminky.urs.cz/item/CS_URS_2022_01/985112111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0,3*5 1,500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1,500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 K 985112192R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Příplatek k odsekání degradovaného betonu za práci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ve stísněném prostoru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1,500 312,50 468,75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Odsekání degradovaného betonu Příplatek k cenám za práci ve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stísněném prostoru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https://podminky.urs.cz/item/CS_URS_2022_01/985112192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 K 98531211R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Oprava pracovní spáry po dokončení injektáže -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zapravení stěrkou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0,570 8 125,00 4 631,25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5,7*0,1 0,570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0,570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 K 98542000R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Pakr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pro injektáž včetně provedení injektáže, vyvrtání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otvorů D 14 mm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9,600 2 375,00 22 800,00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1. sled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0.3"m"*32 9,600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9,600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7 400,00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 K 997013111R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Vnitrostaveništní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doprava suti a vybouraných hmot pro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budovy v do 6 m s použitím mechanizace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0,074 31 250,00 2 312,50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proofErr w:type="spellStart"/>
      <w:r>
        <w:rPr>
          <w:rFonts w:ascii="CIDFont+F2" w:hAnsi="CIDFont+F2" w:cs="CIDFont+F2"/>
          <w:sz w:val="11"/>
          <w:szCs w:val="11"/>
        </w:rPr>
        <w:t>Vnitrostaveništní</w:t>
      </w:r>
      <w:proofErr w:type="spellEnd"/>
      <w:r>
        <w:rPr>
          <w:rFonts w:ascii="CIDFont+F2" w:hAnsi="CIDFont+F2" w:cs="CIDFont+F2"/>
          <w:sz w:val="11"/>
          <w:szCs w:val="11"/>
        </w:rPr>
        <w:t xml:space="preserve"> doprava suti a vybouraných hmot vodorovně do 50 m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svisle s použitím mechanizace pro budovy a haly výšky do 6 m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https://podminky.urs.cz/item/CS_URS_2022_01/997013111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10 K 99732151R.2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Odvoz suti a </w:t>
      </w:r>
      <w:proofErr w:type="spellStart"/>
      <w:r>
        <w:rPr>
          <w:rFonts w:ascii="CIDFont+F2" w:hAnsi="CIDFont+F2" w:cs="CIDFont+F2"/>
          <w:sz w:val="14"/>
          <w:szCs w:val="14"/>
        </w:rPr>
        <w:t>vyb</w:t>
      </w:r>
      <w:proofErr w:type="spellEnd"/>
      <w:r>
        <w:rPr>
          <w:rFonts w:ascii="CIDFont+F2" w:hAnsi="CIDFont+F2" w:cs="CIDFont+F2"/>
          <w:sz w:val="14"/>
          <w:szCs w:val="14"/>
        </w:rPr>
        <w:t>. hmot na skládku vč. naložení 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uložení (poplatku) dle platné legislativy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0,074 68 750,00 5 087,50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13 237,50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 K 998322011R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Přesun hmot pro hráze přehradní zděné, betonové 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železobetonové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 0,706 18 750,00 13 237,50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Přesun hmot pro objekty hráze přehradní zděné, betonové,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železobetonové dopravní vzdálenost do 500 m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https://podminky.urs.cz/item/CS_URS_2022_01/998322011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PSV Práce a dodávky PSV 4 762,50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789 Povrchové úpravy ocelových konstrukcí a technologických zařízení 4 762,50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 K 78912115R Čištění ocelových konstrukcí m2 0,300 15 875,00 4 762,50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0,5*0,6 0,300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0,300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 Vedlejší rozpočtové náklady 43 750,00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VRN6 Územní vlivy 43 750,00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13 K 063503000R Práce ve stísněném prostoru </w:t>
      </w:r>
      <w:proofErr w:type="spellStart"/>
      <w:r>
        <w:rPr>
          <w:rFonts w:ascii="CIDFont+F2" w:hAnsi="CIDFont+F2" w:cs="CIDFont+F2"/>
          <w:sz w:val="14"/>
          <w:szCs w:val="14"/>
        </w:rPr>
        <w:t>kpl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1,000 43 750,00 43 750,00 R-položka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Příplatek na práce ze žebříku / plošinky, stísněné podmínky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Nechranice rekonstrukce bezpečnostního přelivu, právě </w:t>
      </w:r>
      <w:proofErr w:type="gramStart"/>
      <w:r>
        <w:rPr>
          <w:rFonts w:ascii="CIDFont+F2" w:hAnsi="CIDFont+F2" w:cs="CIDFont+F2"/>
          <w:sz w:val="15"/>
          <w:szCs w:val="15"/>
        </w:rPr>
        <w:t>pole - sanace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prusaků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pravého pilíře</w:t>
      </w:r>
    </w:p>
    <w:p w:rsidR="00B65B29" w:rsidRDefault="00B65B29" w:rsidP="00B65B29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01 - Sanace </w:t>
      </w:r>
      <w:proofErr w:type="spellStart"/>
      <w:r>
        <w:rPr>
          <w:rFonts w:ascii="CIDFont+F1" w:hAnsi="CIDFont+F1" w:cs="CIDFont+F1"/>
          <w:sz w:val="17"/>
          <w:szCs w:val="17"/>
        </w:rPr>
        <w:t>prusaků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do pravého pilíře</w:t>
      </w:r>
    </w:p>
    <w:p w:rsidR="00A9204E" w:rsidRPr="00AD2871" w:rsidRDefault="00B65B29" w:rsidP="00B65B29">
      <w:r>
        <w:rPr>
          <w:rFonts w:ascii="CIDFont+F2" w:hAnsi="CIDFont+F2" w:cs="CIDFont+F2"/>
          <w:sz w:val="12"/>
          <w:szCs w:val="12"/>
        </w:rPr>
        <w:t>Strana 5 z 5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32" w:rsidRDefault="00850232" w:rsidP="005F4E53">
      <w:r>
        <w:separator/>
      </w:r>
    </w:p>
  </w:endnote>
  <w:endnote w:type="continuationSeparator" w:id="0">
    <w:p w:rsidR="00850232" w:rsidRDefault="0085023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32" w:rsidRDefault="00850232" w:rsidP="005F4E53">
      <w:r>
        <w:separator/>
      </w:r>
    </w:p>
  </w:footnote>
  <w:footnote w:type="continuationSeparator" w:id="0">
    <w:p w:rsidR="00850232" w:rsidRDefault="0085023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850232"/>
    <w:rsid w:val="0097356C"/>
    <w:rsid w:val="00A9204E"/>
    <w:rsid w:val="00AD2871"/>
    <w:rsid w:val="00B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994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2023-02-27T08:58:00Z</dcterms:modified>
</cp:coreProperties>
</file>