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0AB037BE" w:rsidR="00406509" w:rsidRPr="00955F6A" w:rsidRDefault="002A3EBB" w:rsidP="0019419A">
      <w:pPr>
        <w:widowControl w:val="0"/>
        <w:autoSpaceDE w:val="0"/>
        <w:autoSpaceDN w:val="0"/>
        <w:adjustRightInd w:val="0"/>
        <w:spacing w:after="120" w:line="240" w:lineRule="auto"/>
        <w:jc w:val="center"/>
        <w:outlineLvl w:val="0"/>
        <w:rPr>
          <w:rFonts w:eastAsia="Times New Roman" w:cs="Arial"/>
          <w:b/>
          <w:bCs/>
          <w:caps/>
          <w:color w:val="000000"/>
          <w:sz w:val="32"/>
          <w:szCs w:val="32"/>
          <w:lang w:eastAsia="cs-CZ"/>
        </w:rPr>
      </w:pPr>
      <w:r w:rsidRPr="00955F6A">
        <w:rPr>
          <w:rFonts w:eastAsia="Times New Roman" w:cs="Arial"/>
          <w:b/>
          <w:bCs/>
          <w:caps/>
          <w:color w:val="000000"/>
          <w:sz w:val="32"/>
          <w:szCs w:val="32"/>
          <w:lang w:eastAsia="cs-CZ"/>
        </w:rPr>
        <w:t xml:space="preserve">Dodatek č. </w:t>
      </w:r>
      <w:r w:rsidR="008B314C">
        <w:rPr>
          <w:rFonts w:eastAsia="Times New Roman" w:cs="Arial"/>
          <w:b/>
          <w:bCs/>
          <w:caps/>
          <w:color w:val="000000"/>
          <w:sz w:val="32"/>
          <w:szCs w:val="32"/>
          <w:lang w:eastAsia="cs-CZ"/>
        </w:rPr>
        <w:t>2</w:t>
      </w:r>
    </w:p>
    <w:p w14:paraId="23A4DEA8" w14:textId="3E3D552C" w:rsidR="001E5ED0" w:rsidRPr="00955F6A" w:rsidRDefault="00E5223D" w:rsidP="00E5223D">
      <w:pPr>
        <w:pStyle w:val="Nzevsmlouvy"/>
        <w:spacing w:after="120" w:line="240" w:lineRule="auto"/>
        <w:rPr>
          <w:rFonts w:asciiTheme="minorHAnsi" w:hAnsiTheme="minorHAnsi"/>
          <w:b w:val="0"/>
          <w:color w:val="000000" w:themeColor="text1"/>
          <w:sz w:val="20"/>
          <w:szCs w:val="18"/>
        </w:rPr>
      </w:pPr>
      <w:r>
        <w:rPr>
          <w:rFonts w:asciiTheme="minorHAnsi" w:hAnsiTheme="minorHAnsi"/>
          <w:b w:val="0"/>
          <w:color w:val="000000" w:themeColor="text1"/>
          <w:sz w:val="20"/>
          <w:szCs w:val="18"/>
        </w:rPr>
        <w:t>k</w:t>
      </w:r>
      <w:r w:rsidR="002A3EBB" w:rsidRPr="00955F6A">
        <w:rPr>
          <w:rFonts w:asciiTheme="minorHAnsi" w:hAnsiTheme="minorHAnsi"/>
          <w:b w:val="0"/>
          <w:color w:val="000000" w:themeColor="text1"/>
          <w:sz w:val="20"/>
          <w:szCs w:val="18"/>
        </w:rPr>
        <w:t>e kupní smlouvě uzavřené</w:t>
      </w:r>
      <w:r w:rsidR="00406509" w:rsidRPr="00955F6A">
        <w:rPr>
          <w:rFonts w:asciiTheme="minorHAnsi" w:hAnsiTheme="minorHAnsi"/>
          <w:b w:val="0"/>
          <w:color w:val="000000" w:themeColor="text1"/>
          <w:sz w:val="20"/>
          <w:szCs w:val="18"/>
        </w:rPr>
        <w:t xml:space="preserve"> v souladu s </w:t>
      </w:r>
      <w:proofErr w:type="spellStart"/>
      <w:r w:rsidR="00406509" w:rsidRPr="00955F6A">
        <w:rPr>
          <w:rFonts w:asciiTheme="minorHAnsi" w:hAnsiTheme="minorHAnsi"/>
          <w:b w:val="0"/>
          <w:color w:val="000000" w:themeColor="text1"/>
          <w:sz w:val="20"/>
          <w:szCs w:val="18"/>
        </w:rPr>
        <w:t>ust</w:t>
      </w:r>
      <w:proofErr w:type="spellEnd"/>
      <w:r w:rsidR="00406509" w:rsidRPr="00955F6A">
        <w:rPr>
          <w:rFonts w:asciiTheme="minorHAnsi" w:hAnsiTheme="minorHAnsi"/>
          <w:b w:val="0"/>
          <w:color w:val="000000" w:themeColor="text1"/>
          <w:sz w:val="20"/>
          <w:szCs w:val="18"/>
        </w:rPr>
        <w:t xml:space="preserve">. § 2079 a </w:t>
      </w:r>
      <w:proofErr w:type="spellStart"/>
      <w:r w:rsidR="00406509" w:rsidRPr="00955F6A">
        <w:rPr>
          <w:rFonts w:asciiTheme="minorHAnsi" w:hAnsiTheme="minorHAnsi"/>
          <w:b w:val="0"/>
          <w:color w:val="000000" w:themeColor="text1"/>
          <w:sz w:val="20"/>
          <w:szCs w:val="18"/>
        </w:rPr>
        <w:t>souv</w:t>
      </w:r>
      <w:proofErr w:type="spellEnd"/>
      <w:r w:rsidR="00406509" w:rsidRPr="00955F6A">
        <w:rPr>
          <w:rFonts w:asciiTheme="minorHAnsi" w:hAnsiTheme="minorHAnsi"/>
          <w:b w:val="0"/>
          <w:color w:val="000000" w:themeColor="text1"/>
          <w:sz w:val="20"/>
          <w:szCs w:val="18"/>
        </w:rPr>
        <w:t>. zákona č. 89/2012 Sb., občanského zákoníku, ve znění pozdějších předpisů (dále jen „občanský zákoník“), a zákonem č. 134/2016 Sb., o zadávání veřejných zakázek, ve znění pozdějších předpisů (dále jen „</w:t>
      </w:r>
      <w:r w:rsidR="00646DE9" w:rsidRPr="00955F6A">
        <w:rPr>
          <w:rFonts w:asciiTheme="minorHAnsi" w:hAnsiTheme="minorHAnsi"/>
          <w:b w:val="0"/>
          <w:color w:val="000000" w:themeColor="text1"/>
          <w:sz w:val="20"/>
          <w:szCs w:val="18"/>
        </w:rPr>
        <w:t>ZZZV“).</w:t>
      </w:r>
    </w:p>
    <w:p w14:paraId="7E854749" w14:textId="0FA2BA9D" w:rsidR="00406509" w:rsidRPr="00955F6A" w:rsidRDefault="00406509" w:rsidP="0019419A">
      <w:pPr>
        <w:pStyle w:val="SBSSmlouva"/>
        <w:numPr>
          <w:ilvl w:val="0"/>
          <w:numId w:val="0"/>
        </w:numPr>
        <w:spacing w:before="0" w:after="120"/>
        <w:rPr>
          <w:rFonts w:asciiTheme="minorHAnsi" w:hAnsiTheme="minorHAnsi"/>
          <w:b/>
          <w:caps/>
          <w:color w:val="000000" w:themeColor="text1"/>
          <w:sz w:val="20"/>
          <w:szCs w:val="18"/>
          <w:lang w:eastAsia="en-US"/>
        </w:rPr>
      </w:pPr>
      <w:r w:rsidRPr="00955F6A">
        <w:rPr>
          <w:rFonts w:asciiTheme="minorHAnsi" w:hAnsiTheme="minorHAnsi"/>
          <w:b/>
          <w:caps/>
          <w:color w:val="000000" w:themeColor="text1"/>
          <w:sz w:val="20"/>
          <w:szCs w:val="18"/>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955F6A" w14:paraId="6F9C02B2" w14:textId="77777777" w:rsidTr="00DA371C">
        <w:trPr>
          <w:trHeight w:val="379"/>
          <w:jc w:val="center"/>
        </w:trPr>
        <w:tc>
          <w:tcPr>
            <w:tcW w:w="1365" w:type="pct"/>
            <w:shd w:val="clear" w:color="auto" w:fill="2E74B5"/>
            <w:vAlign w:val="center"/>
          </w:tcPr>
          <w:p w14:paraId="5A0CA983" w14:textId="77777777" w:rsidR="00406509" w:rsidRPr="00955F6A" w:rsidRDefault="00406509" w:rsidP="0019419A">
            <w:pPr>
              <w:spacing w:after="120"/>
              <w:rPr>
                <w:rFonts w:cs="Calibri"/>
                <w:b/>
                <w:color w:val="FFFFFF"/>
                <w:sz w:val="20"/>
                <w:szCs w:val="18"/>
              </w:rPr>
            </w:pPr>
            <w:r w:rsidRPr="00955F6A">
              <w:rPr>
                <w:rFonts w:cs="Calibri"/>
                <w:b/>
                <w:color w:val="FFFFFF"/>
                <w:sz w:val="20"/>
                <w:szCs w:val="18"/>
              </w:rPr>
              <w:t>NÁZEV:</w:t>
            </w:r>
          </w:p>
        </w:tc>
        <w:tc>
          <w:tcPr>
            <w:tcW w:w="3635" w:type="pct"/>
            <w:shd w:val="clear" w:color="auto" w:fill="auto"/>
            <w:vAlign w:val="center"/>
          </w:tcPr>
          <w:p w14:paraId="3B8C2684" w14:textId="600C5B8A" w:rsidR="00406509" w:rsidRPr="00955F6A" w:rsidRDefault="00406509" w:rsidP="0019419A">
            <w:pPr>
              <w:spacing w:after="120"/>
              <w:jc w:val="center"/>
              <w:rPr>
                <w:rFonts w:cs="Calibri"/>
                <w:b/>
                <w:bCs/>
                <w:color w:val="000000"/>
                <w:sz w:val="20"/>
                <w:szCs w:val="18"/>
              </w:rPr>
            </w:pPr>
            <w:r w:rsidRPr="00955F6A">
              <w:rPr>
                <w:rFonts w:cs="Calibri"/>
                <w:b/>
                <w:bCs/>
                <w:color w:val="000000"/>
                <w:sz w:val="20"/>
                <w:szCs w:val="18"/>
              </w:rPr>
              <w:t>ČESKÉ VYSOKÉ UČENÍ TECHNICKÉ V PRAZE</w:t>
            </w:r>
          </w:p>
          <w:p w14:paraId="32CFF94E" w14:textId="5B738B3D" w:rsidR="00406509" w:rsidRPr="00955F6A" w:rsidRDefault="00406509" w:rsidP="0019419A">
            <w:pPr>
              <w:spacing w:after="120"/>
              <w:jc w:val="center"/>
              <w:rPr>
                <w:rFonts w:cs="Calibri"/>
                <w:b/>
                <w:bCs/>
                <w:color w:val="000000"/>
                <w:sz w:val="20"/>
                <w:szCs w:val="18"/>
              </w:rPr>
            </w:pPr>
            <w:r w:rsidRPr="00955F6A">
              <w:rPr>
                <w:rFonts w:cs="Calibri"/>
                <w:b/>
                <w:bCs/>
                <w:color w:val="000000"/>
                <w:sz w:val="20"/>
                <w:szCs w:val="18"/>
              </w:rPr>
              <w:t>Český institut informatiky, robotiky a kybernetiky</w:t>
            </w:r>
          </w:p>
        </w:tc>
      </w:tr>
      <w:tr w:rsidR="00406509" w:rsidRPr="00955F6A" w14:paraId="6CB0F8E1" w14:textId="77777777" w:rsidTr="00DA371C">
        <w:trPr>
          <w:trHeight w:val="379"/>
          <w:jc w:val="center"/>
        </w:trPr>
        <w:tc>
          <w:tcPr>
            <w:tcW w:w="1365" w:type="pct"/>
            <w:shd w:val="clear" w:color="auto" w:fill="2E74B5"/>
            <w:vAlign w:val="center"/>
          </w:tcPr>
          <w:p w14:paraId="4F204CF1" w14:textId="77777777" w:rsidR="00406509" w:rsidRPr="00955F6A" w:rsidRDefault="00406509" w:rsidP="0019419A">
            <w:pPr>
              <w:spacing w:after="120"/>
              <w:rPr>
                <w:rFonts w:cs="Calibri"/>
                <w:b/>
                <w:color w:val="FFFFFF"/>
                <w:sz w:val="20"/>
                <w:szCs w:val="18"/>
              </w:rPr>
            </w:pPr>
            <w:r w:rsidRPr="00955F6A">
              <w:rPr>
                <w:rFonts w:cs="Calibri"/>
                <w:b/>
                <w:color w:val="FFFFFF"/>
                <w:sz w:val="20"/>
                <w:szCs w:val="18"/>
              </w:rPr>
              <w:t>SÍDLO:</w:t>
            </w:r>
          </w:p>
        </w:tc>
        <w:tc>
          <w:tcPr>
            <w:tcW w:w="3635" w:type="pct"/>
            <w:shd w:val="clear" w:color="auto" w:fill="auto"/>
            <w:vAlign w:val="center"/>
          </w:tcPr>
          <w:p w14:paraId="25349125" w14:textId="595CDA9A" w:rsidR="00406509" w:rsidRPr="00955F6A" w:rsidRDefault="00406509" w:rsidP="0019419A">
            <w:pPr>
              <w:spacing w:after="120"/>
              <w:jc w:val="center"/>
              <w:rPr>
                <w:rFonts w:cs="Calibri"/>
                <w:bCs/>
                <w:sz w:val="20"/>
                <w:szCs w:val="18"/>
              </w:rPr>
            </w:pPr>
            <w:r w:rsidRPr="00955F6A">
              <w:rPr>
                <w:rFonts w:eastAsia="Times New Roman" w:cs="Arial"/>
                <w:bCs/>
                <w:sz w:val="20"/>
                <w:szCs w:val="18"/>
                <w:lang w:eastAsia="cs-CZ"/>
              </w:rPr>
              <w:t>Jugoslávských partyzánů 1580/3, 160 00, Praha 6</w:t>
            </w:r>
          </w:p>
        </w:tc>
      </w:tr>
      <w:tr w:rsidR="00406509" w:rsidRPr="00955F6A" w14:paraId="5F378223" w14:textId="77777777" w:rsidTr="00DA371C">
        <w:trPr>
          <w:trHeight w:val="379"/>
          <w:jc w:val="center"/>
        </w:trPr>
        <w:tc>
          <w:tcPr>
            <w:tcW w:w="1365" w:type="pct"/>
            <w:shd w:val="clear" w:color="auto" w:fill="2E74B5"/>
            <w:vAlign w:val="center"/>
          </w:tcPr>
          <w:p w14:paraId="5C48B1AB" w14:textId="15B093CF" w:rsidR="00406509" w:rsidRPr="00955F6A" w:rsidRDefault="00DA371C" w:rsidP="00BC4187">
            <w:pPr>
              <w:spacing w:after="120"/>
              <w:rPr>
                <w:rFonts w:cs="Calibri"/>
                <w:b/>
                <w:color w:val="FFFFFF"/>
                <w:sz w:val="20"/>
                <w:szCs w:val="18"/>
              </w:rPr>
            </w:pPr>
            <w:r w:rsidRPr="00955F6A">
              <w:rPr>
                <w:rFonts w:cs="Calibri"/>
                <w:b/>
                <w:color w:val="FFFFFF"/>
                <w:sz w:val="20"/>
                <w:szCs w:val="18"/>
              </w:rPr>
              <w:t>JEHOŽ JMÉNEM JEDNÁ</w:t>
            </w:r>
          </w:p>
        </w:tc>
        <w:tc>
          <w:tcPr>
            <w:tcW w:w="3635" w:type="pct"/>
            <w:shd w:val="clear" w:color="auto" w:fill="auto"/>
            <w:vAlign w:val="center"/>
          </w:tcPr>
          <w:p w14:paraId="6BD4D68B" w14:textId="164AD116" w:rsidR="00406509" w:rsidRPr="00955F6A" w:rsidRDefault="00406509" w:rsidP="00BC4187">
            <w:pPr>
              <w:spacing w:after="120"/>
              <w:jc w:val="center"/>
              <w:rPr>
                <w:rFonts w:cs="Calibri"/>
                <w:sz w:val="20"/>
                <w:szCs w:val="18"/>
              </w:rPr>
            </w:pPr>
          </w:p>
        </w:tc>
      </w:tr>
      <w:tr w:rsidR="00406509" w:rsidRPr="00955F6A" w14:paraId="6E138837" w14:textId="77777777" w:rsidTr="00DA371C">
        <w:trPr>
          <w:trHeight w:val="379"/>
          <w:jc w:val="center"/>
        </w:trPr>
        <w:tc>
          <w:tcPr>
            <w:tcW w:w="1365" w:type="pct"/>
            <w:shd w:val="clear" w:color="auto" w:fill="2E74B5"/>
            <w:vAlign w:val="center"/>
          </w:tcPr>
          <w:p w14:paraId="6F886B6D" w14:textId="77777777" w:rsidR="00406509" w:rsidRPr="00955F6A" w:rsidRDefault="00406509" w:rsidP="0019419A">
            <w:pPr>
              <w:spacing w:after="120"/>
              <w:rPr>
                <w:rFonts w:cs="Calibri"/>
                <w:b/>
                <w:color w:val="FFFFFF"/>
                <w:sz w:val="20"/>
                <w:szCs w:val="18"/>
              </w:rPr>
            </w:pPr>
            <w:r w:rsidRPr="00955F6A">
              <w:rPr>
                <w:rFonts w:cs="Calibri"/>
                <w:b/>
                <w:color w:val="FFFFFF"/>
                <w:sz w:val="20"/>
                <w:szCs w:val="18"/>
              </w:rPr>
              <w:t>IČO:</w:t>
            </w:r>
          </w:p>
        </w:tc>
        <w:tc>
          <w:tcPr>
            <w:tcW w:w="3635" w:type="pct"/>
            <w:shd w:val="clear" w:color="auto" w:fill="auto"/>
            <w:vAlign w:val="center"/>
          </w:tcPr>
          <w:p w14:paraId="5F8E3852" w14:textId="77777777" w:rsidR="00406509" w:rsidRPr="00955F6A" w:rsidRDefault="00406509" w:rsidP="0019419A">
            <w:pPr>
              <w:spacing w:after="120"/>
              <w:jc w:val="center"/>
              <w:rPr>
                <w:rFonts w:cs="Calibri"/>
                <w:sz w:val="20"/>
                <w:szCs w:val="18"/>
              </w:rPr>
            </w:pPr>
            <w:r w:rsidRPr="00955F6A">
              <w:rPr>
                <w:rFonts w:cs="Calibri"/>
                <w:sz w:val="20"/>
                <w:szCs w:val="18"/>
              </w:rPr>
              <w:t>68407700</w:t>
            </w:r>
          </w:p>
        </w:tc>
      </w:tr>
    </w:tbl>
    <w:p w14:paraId="15148EF3" w14:textId="1E3827A7" w:rsidR="00406509" w:rsidRPr="00955F6A"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Cs/>
          <w:color w:val="000000"/>
          <w:sz w:val="20"/>
          <w:szCs w:val="20"/>
          <w:lang w:eastAsia="cs-CZ"/>
        </w:rPr>
      </w:pPr>
      <w:r w:rsidRPr="00955F6A">
        <w:rPr>
          <w:rFonts w:eastAsia="Times New Roman" w:cs="Arial"/>
          <w:bCs/>
          <w:color w:val="000000"/>
          <w:sz w:val="20"/>
          <w:szCs w:val="20"/>
          <w:lang w:eastAsia="cs-CZ"/>
        </w:rPr>
        <w:t>Dále jen „kupující</w:t>
      </w:r>
      <w:r w:rsidR="00857285" w:rsidRPr="00955F6A">
        <w:rPr>
          <w:rFonts w:eastAsia="Times New Roman" w:cs="Arial"/>
          <w:bCs/>
          <w:color w:val="000000"/>
          <w:sz w:val="20"/>
          <w:szCs w:val="20"/>
          <w:lang w:eastAsia="cs-CZ"/>
        </w:rPr>
        <w:t>“</w:t>
      </w:r>
    </w:p>
    <w:p w14:paraId="50A8D50F" w14:textId="60E56F6B" w:rsidR="00406509" w:rsidRPr="00955F6A" w:rsidRDefault="001E5ED0"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sz w:val="20"/>
          <w:szCs w:val="20"/>
          <w:lang w:eastAsia="cs-CZ"/>
        </w:rPr>
      </w:pPr>
      <w:r w:rsidRPr="00955F6A">
        <w:rPr>
          <w:rFonts w:eastAsia="Times New Roman" w:cs="Arial"/>
          <w:b/>
          <w:bCs/>
          <w:color w:val="000000"/>
          <w:sz w:val="20"/>
          <w:szCs w:val="20"/>
          <w:lang w:eastAsia="cs-CZ"/>
        </w:rPr>
        <w:t>a</w:t>
      </w:r>
    </w:p>
    <w:p w14:paraId="0F9F7DE7" w14:textId="13C5D56B" w:rsidR="00406509" w:rsidRPr="00955F6A"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sz w:val="20"/>
          <w:szCs w:val="20"/>
          <w:lang w:eastAsia="cs-CZ"/>
        </w:rPr>
      </w:pPr>
      <w:r w:rsidRPr="00955F6A">
        <w:rPr>
          <w:rFonts w:eastAsia="Times New Roman" w:cs="Arial"/>
          <w:b/>
          <w:bCs/>
          <w:color w:val="000000"/>
          <w:sz w:val="20"/>
          <w:szCs w:val="2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3"/>
        <w:gridCol w:w="6538"/>
      </w:tblGrid>
      <w:tr w:rsidR="00FA2B9E" w:rsidRPr="00955F6A" w14:paraId="298CFBD5" w14:textId="77777777" w:rsidTr="00FA2B9E">
        <w:trPr>
          <w:trHeight w:val="379"/>
          <w:jc w:val="center"/>
        </w:trPr>
        <w:tc>
          <w:tcPr>
            <w:tcW w:w="1384" w:type="pct"/>
            <w:shd w:val="clear" w:color="auto" w:fill="2E74B5"/>
            <w:vAlign w:val="center"/>
          </w:tcPr>
          <w:p w14:paraId="74ADB9F1" w14:textId="77777777" w:rsidR="00FA2B9E" w:rsidRPr="00955F6A" w:rsidRDefault="00FA2B9E" w:rsidP="00FA2B9E">
            <w:pPr>
              <w:spacing w:after="120"/>
              <w:rPr>
                <w:rFonts w:cs="Calibri"/>
                <w:b/>
                <w:color w:val="FFFFFF"/>
                <w:sz w:val="20"/>
                <w:szCs w:val="20"/>
              </w:rPr>
            </w:pPr>
            <w:r w:rsidRPr="00955F6A">
              <w:rPr>
                <w:rFonts w:cs="Calibri"/>
                <w:b/>
                <w:color w:val="FFFFFF"/>
                <w:sz w:val="20"/>
                <w:szCs w:val="20"/>
              </w:rPr>
              <w:t>NÁZEV:</w:t>
            </w:r>
          </w:p>
        </w:tc>
        <w:tc>
          <w:tcPr>
            <w:tcW w:w="3616" w:type="pct"/>
            <w:shd w:val="clear" w:color="auto" w:fill="auto"/>
            <w:vAlign w:val="center"/>
          </w:tcPr>
          <w:p w14:paraId="47C34724" w14:textId="555A5667" w:rsidR="00FA2B9E" w:rsidRPr="00955F6A" w:rsidRDefault="00D02597" w:rsidP="00FA2B9E">
            <w:pPr>
              <w:spacing w:after="120"/>
              <w:jc w:val="center"/>
              <w:rPr>
                <w:rFonts w:cs="Calibri"/>
                <w:b/>
                <w:bCs/>
                <w:color w:val="000000"/>
                <w:sz w:val="20"/>
                <w:szCs w:val="20"/>
              </w:rPr>
            </w:pPr>
            <w:r w:rsidRPr="00955F6A">
              <w:rPr>
                <w:rFonts w:cs="Calibri"/>
                <w:b/>
                <w:bCs/>
                <w:color w:val="000000" w:themeColor="text1"/>
                <w:sz w:val="20"/>
                <w:szCs w:val="20"/>
              </w:rPr>
              <w:t>Siemens, s.r.o.</w:t>
            </w:r>
          </w:p>
        </w:tc>
      </w:tr>
      <w:tr w:rsidR="00FA2B9E" w:rsidRPr="00955F6A" w14:paraId="1A541F13" w14:textId="77777777" w:rsidTr="00FA2B9E">
        <w:trPr>
          <w:trHeight w:val="379"/>
          <w:jc w:val="center"/>
        </w:trPr>
        <w:tc>
          <w:tcPr>
            <w:tcW w:w="1384" w:type="pct"/>
            <w:shd w:val="clear" w:color="auto" w:fill="2E74B5"/>
            <w:vAlign w:val="center"/>
          </w:tcPr>
          <w:p w14:paraId="20A5E65C" w14:textId="77777777" w:rsidR="00FA2B9E" w:rsidRPr="00955F6A" w:rsidRDefault="00FA2B9E" w:rsidP="00FA2B9E">
            <w:pPr>
              <w:spacing w:after="120"/>
              <w:rPr>
                <w:rFonts w:cs="Calibri"/>
                <w:b/>
                <w:color w:val="FFFFFF"/>
                <w:sz w:val="20"/>
                <w:szCs w:val="20"/>
              </w:rPr>
            </w:pPr>
            <w:r w:rsidRPr="00955F6A">
              <w:rPr>
                <w:rFonts w:cs="Calibri"/>
                <w:b/>
                <w:color w:val="FFFFFF"/>
                <w:sz w:val="20"/>
                <w:szCs w:val="20"/>
              </w:rPr>
              <w:t>SÍDLO:</w:t>
            </w:r>
          </w:p>
        </w:tc>
        <w:tc>
          <w:tcPr>
            <w:tcW w:w="3616" w:type="pct"/>
            <w:shd w:val="clear" w:color="auto" w:fill="auto"/>
            <w:vAlign w:val="center"/>
          </w:tcPr>
          <w:p w14:paraId="178311F2" w14:textId="0F32A7A5" w:rsidR="00FA2B9E" w:rsidRPr="00955F6A" w:rsidRDefault="00D02597" w:rsidP="00FA2B9E">
            <w:pPr>
              <w:spacing w:after="120"/>
              <w:jc w:val="center"/>
              <w:rPr>
                <w:rFonts w:cs="Calibri"/>
                <w:bCs/>
                <w:sz w:val="20"/>
                <w:szCs w:val="20"/>
              </w:rPr>
            </w:pPr>
            <w:proofErr w:type="spellStart"/>
            <w:r w:rsidRPr="00955F6A">
              <w:rPr>
                <w:rFonts w:cs="Calibri"/>
                <w:color w:val="000000"/>
                <w:sz w:val="20"/>
                <w:szCs w:val="20"/>
              </w:rPr>
              <w:t>Siemensova</w:t>
            </w:r>
            <w:proofErr w:type="spellEnd"/>
            <w:r w:rsidRPr="00955F6A">
              <w:rPr>
                <w:rFonts w:cs="Calibri"/>
                <w:color w:val="000000"/>
                <w:sz w:val="20"/>
                <w:szCs w:val="20"/>
              </w:rPr>
              <w:t xml:space="preserve"> 1, 155 00 Praha</w:t>
            </w:r>
          </w:p>
        </w:tc>
      </w:tr>
      <w:tr w:rsidR="00FA2B9E" w:rsidRPr="00955F6A" w14:paraId="5A81D328" w14:textId="77777777" w:rsidTr="00FA2B9E">
        <w:trPr>
          <w:trHeight w:val="379"/>
          <w:jc w:val="center"/>
        </w:trPr>
        <w:tc>
          <w:tcPr>
            <w:tcW w:w="1384" w:type="pct"/>
            <w:shd w:val="clear" w:color="auto" w:fill="2E74B5"/>
            <w:vAlign w:val="center"/>
          </w:tcPr>
          <w:p w14:paraId="2838CB2F" w14:textId="7D8B0999" w:rsidR="00FA2B9E" w:rsidRPr="00955F6A" w:rsidRDefault="00FA2B9E" w:rsidP="00FA2B9E">
            <w:pPr>
              <w:spacing w:after="120"/>
              <w:rPr>
                <w:rFonts w:cs="Calibri"/>
                <w:b/>
                <w:color w:val="FFFFFF"/>
                <w:sz w:val="20"/>
                <w:szCs w:val="20"/>
              </w:rPr>
            </w:pPr>
            <w:r w:rsidRPr="00955F6A">
              <w:rPr>
                <w:rFonts w:cs="Calibri"/>
                <w:b/>
                <w:color w:val="FFFFFF"/>
                <w:sz w:val="20"/>
                <w:szCs w:val="20"/>
              </w:rPr>
              <w:t>ZASTOUPENÝ/JEDNAJÍCÍ:</w:t>
            </w:r>
          </w:p>
        </w:tc>
        <w:tc>
          <w:tcPr>
            <w:tcW w:w="3616" w:type="pct"/>
            <w:shd w:val="clear" w:color="auto" w:fill="auto"/>
            <w:vAlign w:val="center"/>
          </w:tcPr>
          <w:p w14:paraId="25D79527" w14:textId="4F43E3A0" w:rsidR="00D02597" w:rsidRPr="00955F6A" w:rsidRDefault="00D02597" w:rsidP="00FA2B9E">
            <w:pPr>
              <w:spacing w:after="120"/>
              <w:jc w:val="center"/>
              <w:rPr>
                <w:rFonts w:cs="Calibri"/>
                <w:sz w:val="20"/>
                <w:szCs w:val="20"/>
              </w:rPr>
            </w:pPr>
          </w:p>
        </w:tc>
      </w:tr>
      <w:tr w:rsidR="00FA2B9E" w:rsidRPr="00955F6A" w14:paraId="10CE8B0C" w14:textId="77777777" w:rsidTr="00FA2B9E">
        <w:trPr>
          <w:trHeight w:val="379"/>
          <w:jc w:val="center"/>
        </w:trPr>
        <w:tc>
          <w:tcPr>
            <w:tcW w:w="1384" w:type="pct"/>
            <w:shd w:val="clear" w:color="auto" w:fill="2E74B5"/>
            <w:vAlign w:val="center"/>
          </w:tcPr>
          <w:p w14:paraId="418E8524" w14:textId="77777777" w:rsidR="00FA2B9E" w:rsidRPr="00955F6A" w:rsidRDefault="00FA2B9E" w:rsidP="00FA2B9E">
            <w:pPr>
              <w:spacing w:after="120"/>
              <w:rPr>
                <w:rFonts w:cs="Calibri"/>
                <w:b/>
                <w:color w:val="FFFFFF"/>
                <w:sz w:val="20"/>
                <w:szCs w:val="20"/>
              </w:rPr>
            </w:pPr>
            <w:r w:rsidRPr="00955F6A">
              <w:rPr>
                <w:rFonts w:cs="Calibri"/>
                <w:b/>
                <w:color w:val="FFFFFF"/>
                <w:sz w:val="20"/>
                <w:szCs w:val="20"/>
              </w:rPr>
              <w:t>IČO:</w:t>
            </w:r>
          </w:p>
        </w:tc>
        <w:tc>
          <w:tcPr>
            <w:tcW w:w="3616" w:type="pct"/>
            <w:shd w:val="clear" w:color="auto" w:fill="auto"/>
            <w:vAlign w:val="center"/>
          </w:tcPr>
          <w:p w14:paraId="1396873A" w14:textId="15FD8CE3" w:rsidR="00FA2B9E" w:rsidRPr="00955F6A" w:rsidRDefault="00D02597" w:rsidP="00FA2B9E">
            <w:pPr>
              <w:spacing w:after="120"/>
              <w:jc w:val="center"/>
              <w:rPr>
                <w:rFonts w:cs="Calibri"/>
                <w:sz w:val="20"/>
                <w:szCs w:val="20"/>
              </w:rPr>
            </w:pPr>
            <w:r w:rsidRPr="00955F6A">
              <w:rPr>
                <w:rFonts w:cs="Calibri"/>
                <w:sz w:val="20"/>
                <w:szCs w:val="20"/>
              </w:rPr>
              <w:t>00268577</w:t>
            </w:r>
          </w:p>
        </w:tc>
      </w:tr>
      <w:tr w:rsidR="00FA2B9E" w:rsidRPr="00955F6A" w14:paraId="6F5F8F7E" w14:textId="77777777" w:rsidTr="00FA2B9E">
        <w:trPr>
          <w:trHeight w:val="379"/>
          <w:jc w:val="center"/>
        </w:trPr>
        <w:tc>
          <w:tcPr>
            <w:tcW w:w="1384" w:type="pct"/>
            <w:shd w:val="clear" w:color="auto" w:fill="2E74B5"/>
            <w:vAlign w:val="center"/>
          </w:tcPr>
          <w:p w14:paraId="3FD3747E" w14:textId="77777777" w:rsidR="00FA2B9E" w:rsidRPr="00955F6A" w:rsidRDefault="00FA2B9E" w:rsidP="00FA2B9E">
            <w:pPr>
              <w:spacing w:after="120"/>
              <w:rPr>
                <w:rFonts w:cs="Calibri"/>
                <w:b/>
                <w:color w:val="FFFFFF"/>
                <w:sz w:val="20"/>
                <w:szCs w:val="20"/>
              </w:rPr>
            </w:pPr>
            <w:r w:rsidRPr="00955F6A">
              <w:rPr>
                <w:rFonts w:cs="Calibri"/>
                <w:b/>
                <w:color w:val="FFFFFF"/>
                <w:sz w:val="20"/>
                <w:szCs w:val="20"/>
              </w:rPr>
              <w:t>ZAPSANÁ V OR:</w:t>
            </w:r>
          </w:p>
        </w:tc>
        <w:tc>
          <w:tcPr>
            <w:tcW w:w="3616" w:type="pct"/>
            <w:shd w:val="clear" w:color="auto" w:fill="auto"/>
            <w:vAlign w:val="center"/>
          </w:tcPr>
          <w:p w14:paraId="2E28D426" w14:textId="5DE0A909" w:rsidR="00FA2B9E" w:rsidRPr="00955F6A" w:rsidRDefault="00FA2B9E" w:rsidP="00FA2B9E">
            <w:pPr>
              <w:spacing w:after="120"/>
              <w:jc w:val="center"/>
              <w:rPr>
                <w:rFonts w:cs="Calibri"/>
                <w:sz w:val="20"/>
                <w:szCs w:val="20"/>
              </w:rPr>
            </w:pPr>
            <w:r w:rsidRPr="00955F6A">
              <w:rPr>
                <w:rFonts w:cs="Calibri"/>
                <w:color w:val="000000"/>
                <w:sz w:val="20"/>
                <w:szCs w:val="20"/>
              </w:rPr>
              <w:t xml:space="preserve">vedeném u </w:t>
            </w:r>
            <w:r w:rsidR="00D02597" w:rsidRPr="00955F6A">
              <w:rPr>
                <w:rFonts w:cs="Calibri"/>
                <w:color w:val="000000"/>
                <w:sz w:val="20"/>
                <w:szCs w:val="20"/>
              </w:rPr>
              <w:t>Městského soudu v Praze, oddíl C, vložka 625</w:t>
            </w:r>
          </w:p>
        </w:tc>
      </w:tr>
    </w:tbl>
    <w:p w14:paraId="08296019" w14:textId="1911CDEF" w:rsidR="00406509" w:rsidRPr="00955F6A"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955F6A">
        <w:rPr>
          <w:rFonts w:eastAsia="Times New Roman" w:cs="Arial"/>
          <w:color w:val="000000"/>
          <w:sz w:val="20"/>
          <w:szCs w:val="20"/>
          <w:lang w:eastAsia="cs-CZ"/>
        </w:rPr>
        <w:t>Dále jen „prodávající“</w:t>
      </w:r>
    </w:p>
    <w:p w14:paraId="77DC6D2B" w14:textId="5DC5E15A" w:rsidR="00406509" w:rsidRPr="00955F6A" w:rsidRDefault="00406509"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955F6A">
        <w:rPr>
          <w:rFonts w:eastAsia="Times New Roman" w:cs="Arial"/>
          <w:color w:val="000000"/>
          <w:sz w:val="20"/>
          <w:szCs w:val="20"/>
          <w:lang w:eastAsia="cs-CZ"/>
        </w:rPr>
        <w:t>Společně též jako „smluvní strany“ nebo jednotlivě jako „smluvní strana“</w:t>
      </w:r>
    </w:p>
    <w:p w14:paraId="0B63278B" w14:textId="77777777" w:rsidR="00620758" w:rsidRPr="00955F6A" w:rsidRDefault="00620758"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p>
    <w:p w14:paraId="1ED813F3" w14:textId="252A00C4" w:rsidR="00406509" w:rsidRDefault="00406509" w:rsidP="00970FDF">
      <w:pPr>
        <w:pStyle w:val="Odstavecseseznamem"/>
        <w:widowControl w:val="0"/>
        <w:numPr>
          <w:ilvl w:val="0"/>
          <w:numId w:val="42"/>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Cs w:val="20"/>
          <w:lang w:eastAsia="cs-CZ"/>
        </w:rPr>
      </w:pPr>
      <w:r w:rsidRPr="00955F6A">
        <w:rPr>
          <w:rFonts w:eastAsia="Times New Roman" w:cs="Arial"/>
          <w:b/>
          <w:bCs/>
          <w:color w:val="000000"/>
          <w:szCs w:val="20"/>
          <w:lang w:eastAsia="cs-CZ"/>
        </w:rPr>
        <w:t>Preambule</w:t>
      </w:r>
    </w:p>
    <w:p w14:paraId="35CADF88" w14:textId="61B9D679" w:rsidR="00516F84" w:rsidRPr="008B314C" w:rsidRDefault="002A3EBB" w:rsidP="00190951">
      <w:pPr>
        <w:pStyle w:val="Odstavecseseznamem"/>
        <w:widowControl w:val="0"/>
        <w:numPr>
          <w:ilvl w:val="0"/>
          <w:numId w:val="41"/>
        </w:numPr>
        <w:tabs>
          <w:tab w:val="left" w:pos="0"/>
        </w:tabs>
        <w:autoSpaceDE w:val="0"/>
        <w:autoSpaceDN w:val="0"/>
        <w:adjustRightInd w:val="0"/>
        <w:spacing w:after="120" w:line="240" w:lineRule="auto"/>
        <w:ind w:left="714" w:hanging="357"/>
        <w:contextualSpacing w:val="0"/>
        <w:jc w:val="both"/>
        <w:outlineLvl w:val="0"/>
        <w:rPr>
          <w:rFonts w:eastAsia="Times New Roman" w:cstheme="minorHAnsi"/>
          <w:color w:val="000000"/>
          <w:sz w:val="20"/>
          <w:szCs w:val="20"/>
          <w:lang w:eastAsia="cs-CZ"/>
        </w:rPr>
      </w:pPr>
      <w:r w:rsidRPr="008B314C">
        <w:rPr>
          <w:rFonts w:eastAsia="Times New Roman" w:cstheme="minorHAnsi"/>
          <w:color w:val="000000"/>
          <w:sz w:val="20"/>
          <w:szCs w:val="20"/>
          <w:lang w:eastAsia="cs-CZ"/>
        </w:rPr>
        <w:t xml:space="preserve">Smluvní strany mezi sebou uzavřely dne </w:t>
      </w:r>
      <w:r w:rsidR="00955F6A" w:rsidRPr="008B314C">
        <w:rPr>
          <w:rFonts w:eastAsia="Times New Roman" w:cstheme="minorHAnsi"/>
          <w:color w:val="000000"/>
          <w:sz w:val="20"/>
          <w:szCs w:val="20"/>
          <w:lang w:eastAsia="cs-CZ"/>
        </w:rPr>
        <w:t>30. 9. 2020</w:t>
      </w:r>
      <w:r w:rsidRPr="008B314C">
        <w:rPr>
          <w:rFonts w:eastAsia="Times New Roman" w:cstheme="minorHAnsi"/>
          <w:color w:val="000000"/>
          <w:sz w:val="20"/>
          <w:szCs w:val="20"/>
          <w:lang w:eastAsia="cs-CZ"/>
        </w:rPr>
        <w:t xml:space="preserve"> kupní smlouvu, </w:t>
      </w:r>
      <w:r w:rsidR="00D21E27" w:rsidRPr="008B314C">
        <w:rPr>
          <w:rFonts w:eastAsia="Times New Roman" w:cstheme="minorHAnsi"/>
          <w:color w:val="000000"/>
          <w:sz w:val="20"/>
          <w:szCs w:val="20"/>
          <w:lang w:eastAsia="cs-CZ"/>
        </w:rPr>
        <w:t>ID smlouvy v registru smluv: </w:t>
      </w:r>
      <w:r w:rsidR="00955F6A" w:rsidRPr="008B314C">
        <w:rPr>
          <w:rFonts w:eastAsia="Times New Roman" w:cstheme="minorHAnsi"/>
          <w:color w:val="000000"/>
          <w:sz w:val="20"/>
          <w:szCs w:val="20"/>
          <w:lang w:eastAsia="cs-CZ"/>
        </w:rPr>
        <w:t>12994524</w:t>
      </w:r>
      <w:r w:rsidRPr="008B314C">
        <w:rPr>
          <w:rFonts w:eastAsia="Times New Roman" w:cstheme="minorHAnsi"/>
          <w:color w:val="000000"/>
          <w:sz w:val="20"/>
          <w:szCs w:val="20"/>
          <w:lang w:eastAsia="cs-CZ"/>
        </w:rPr>
        <w:t xml:space="preserve"> (dále jen „smlouva”). Smlouva byla uzavřena na základě </w:t>
      </w:r>
      <w:r w:rsidR="00516F84" w:rsidRPr="008B314C">
        <w:rPr>
          <w:rFonts w:eastAsia="Times New Roman" w:cstheme="minorHAnsi"/>
          <w:color w:val="000000"/>
          <w:sz w:val="20"/>
          <w:szCs w:val="20"/>
          <w:lang w:eastAsia="cs-CZ"/>
        </w:rPr>
        <w:t xml:space="preserve">zadávacího řízení provedeného dle zákona o zadávání veřejných zakázek na veřejnou zakázku s názvem </w:t>
      </w:r>
      <w:r w:rsidR="00516F84" w:rsidRPr="000F5B2D">
        <w:rPr>
          <w:rFonts w:eastAsia="Times New Roman" w:cstheme="minorHAnsi"/>
          <w:b/>
          <w:color w:val="000000"/>
          <w:sz w:val="20"/>
          <w:szCs w:val="20"/>
          <w:lang w:eastAsia="cs-CZ"/>
        </w:rPr>
        <w:t xml:space="preserve">„ČVUT-CIIRC: </w:t>
      </w:r>
      <w:r w:rsidR="00955F6A" w:rsidRPr="000F5B2D">
        <w:rPr>
          <w:rFonts w:cstheme="minorHAnsi"/>
          <w:b/>
          <w:color w:val="000000" w:themeColor="text1"/>
          <w:sz w:val="20"/>
          <w:szCs w:val="20"/>
        </w:rPr>
        <w:t xml:space="preserve">Rychlý robot pro operace </w:t>
      </w:r>
      <w:proofErr w:type="spellStart"/>
      <w:r w:rsidR="00955F6A" w:rsidRPr="000F5B2D">
        <w:rPr>
          <w:rFonts w:cstheme="minorHAnsi"/>
          <w:b/>
          <w:color w:val="000000" w:themeColor="text1"/>
          <w:sz w:val="20"/>
          <w:szCs w:val="20"/>
        </w:rPr>
        <w:t>pick</w:t>
      </w:r>
      <w:proofErr w:type="spellEnd"/>
      <w:r w:rsidR="00955F6A" w:rsidRPr="000F5B2D">
        <w:rPr>
          <w:rFonts w:cstheme="minorHAnsi"/>
          <w:b/>
          <w:color w:val="000000" w:themeColor="text1"/>
          <w:sz w:val="20"/>
          <w:szCs w:val="20"/>
        </w:rPr>
        <w:t xml:space="preserve"> &amp; place a dopravník pro synchronizované řízení</w:t>
      </w:r>
      <w:r w:rsidR="00516F84" w:rsidRPr="000F5B2D">
        <w:rPr>
          <w:rFonts w:cstheme="minorHAnsi"/>
          <w:b/>
          <w:color w:val="000000" w:themeColor="text1"/>
          <w:sz w:val="20"/>
          <w:szCs w:val="20"/>
        </w:rPr>
        <w:t>“</w:t>
      </w:r>
      <w:r w:rsidR="00516F84" w:rsidRPr="008B314C">
        <w:rPr>
          <w:rFonts w:cstheme="minorHAnsi"/>
          <w:color w:val="000000" w:themeColor="text1"/>
          <w:sz w:val="20"/>
          <w:szCs w:val="20"/>
        </w:rPr>
        <w:t xml:space="preserve">, </w:t>
      </w:r>
      <w:r w:rsidR="00516F84" w:rsidRPr="008B314C">
        <w:rPr>
          <w:rFonts w:eastAsia="Times New Roman" w:cstheme="minorHAnsi"/>
          <w:color w:val="000000"/>
          <w:sz w:val="20"/>
          <w:szCs w:val="20"/>
          <w:lang w:eastAsia="cs-CZ"/>
        </w:rPr>
        <w:t xml:space="preserve">zadávané jako </w:t>
      </w:r>
      <w:r w:rsidR="00190EF4" w:rsidRPr="008B314C">
        <w:rPr>
          <w:rFonts w:eastAsia="Times New Roman" w:cstheme="minorHAnsi"/>
          <w:color w:val="000000"/>
          <w:sz w:val="20"/>
          <w:szCs w:val="20"/>
          <w:lang w:eastAsia="cs-CZ"/>
        </w:rPr>
        <w:t>na</w:t>
      </w:r>
      <w:r w:rsidR="00700653" w:rsidRPr="008B314C">
        <w:rPr>
          <w:rFonts w:eastAsia="Times New Roman" w:cstheme="minorHAnsi"/>
          <w:color w:val="000000"/>
          <w:sz w:val="20"/>
          <w:szCs w:val="20"/>
          <w:lang w:eastAsia="cs-CZ"/>
        </w:rPr>
        <w:t xml:space="preserve">dlimitní veřejná zakázka na dodávky </w:t>
      </w:r>
      <w:r w:rsidR="00190EF4" w:rsidRPr="008B314C">
        <w:rPr>
          <w:rFonts w:eastAsia="Times New Roman" w:cstheme="minorHAnsi"/>
          <w:color w:val="000000"/>
          <w:sz w:val="20"/>
          <w:szCs w:val="20"/>
          <w:lang w:eastAsia="cs-CZ"/>
        </w:rPr>
        <w:t>v otevřeném řízení</w:t>
      </w:r>
      <w:r w:rsidR="00516F84" w:rsidRPr="008B314C">
        <w:rPr>
          <w:rFonts w:eastAsia="Times New Roman" w:cstheme="minorHAnsi"/>
          <w:color w:val="000000"/>
          <w:sz w:val="20"/>
          <w:szCs w:val="20"/>
          <w:lang w:eastAsia="cs-CZ"/>
        </w:rPr>
        <w:t xml:space="preserve">. </w:t>
      </w:r>
    </w:p>
    <w:p w14:paraId="30A98841" w14:textId="2F8B9637" w:rsidR="00955F6A" w:rsidRPr="00EE5802" w:rsidRDefault="00EE5802" w:rsidP="00CF4EAE">
      <w:pPr>
        <w:pStyle w:val="Odstavecseseznamem"/>
        <w:numPr>
          <w:ilvl w:val="0"/>
          <w:numId w:val="41"/>
        </w:numPr>
        <w:jc w:val="both"/>
        <w:rPr>
          <w:rFonts w:eastAsia="Times New Roman" w:cstheme="minorHAnsi"/>
          <w:color w:val="000000"/>
          <w:sz w:val="20"/>
          <w:szCs w:val="20"/>
          <w:lang w:eastAsia="cs-CZ"/>
        </w:rPr>
      </w:pPr>
      <w:r w:rsidRPr="00EE5802">
        <w:rPr>
          <w:rFonts w:eastAsia="Times New Roman" w:cstheme="minorHAnsi"/>
          <w:color w:val="000000"/>
          <w:sz w:val="20"/>
          <w:szCs w:val="20"/>
          <w:lang w:eastAsia="cs-CZ"/>
        </w:rPr>
        <w:t xml:space="preserve">Smluvní strany stvrzují, že změna závazku, provedená tímto Dodatkem č. 2 (dále jen „dodatek“), je tzv. změnou de </w:t>
      </w:r>
      <w:proofErr w:type="spellStart"/>
      <w:r w:rsidRPr="00EE5802">
        <w:rPr>
          <w:rFonts w:eastAsia="Times New Roman" w:cstheme="minorHAnsi"/>
          <w:color w:val="000000"/>
          <w:sz w:val="20"/>
          <w:szCs w:val="20"/>
          <w:lang w:eastAsia="cs-CZ"/>
        </w:rPr>
        <w:t>minimis</w:t>
      </w:r>
      <w:proofErr w:type="spellEnd"/>
      <w:r w:rsidRPr="00EE5802">
        <w:rPr>
          <w:rFonts w:eastAsia="Times New Roman" w:cstheme="minorHAnsi"/>
          <w:color w:val="000000"/>
          <w:sz w:val="20"/>
          <w:szCs w:val="20"/>
          <w:lang w:eastAsia="cs-CZ"/>
        </w:rPr>
        <w:t xml:space="preserve"> dle § 222 odst. 4 ZZVZ, která nemění celkovou povahu veřejné zakázky.</w:t>
      </w:r>
      <w:r w:rsidR="00955F6A" w:rsidRPr="00EE5802">
        <w:rPr>
          <w:rFonts w:eastAsia="Times New Roman" w:cstheme="minorHAnsi"/>
          <w:color w:val="000000"/>
          <w:sz w:val="20"/>
          <w:szCs w:val="20"/>
          <w:lang w:eastAsia="cs-CZ"/>
        </w:rPr>
        <w:br w:type="page"/>
      </w:r>
    </w:p>
    <w:p w14:paraId="2A2C6EEB" w14:textId="77777777" w:rsidR="00970FDF" w:rsidRDefault="00970FDF" w:rsidP="00970FDF">
      <w:pPr>
        <w:pStyle w:val="Odstavecseseznamem"/>
        <w:widowControl w:val="0"/>
        <w:tabs>
          <w:tab w:val="left" w:pos="0"/>
        </w:tabs>
        <w:autoSpaceDE w:val="0"/>
        <w:autoSpaceDN w:val="0"/>
        <w:adjustRightInd w:val="0"/>
        <w:spacing w:after="120" w:line="240" w:lineRule="auto"/>
        <w:ind w:left="0"/>
        <w:contextualSpacing w:val="0"/>
        <w:outlineLvl w:val="0"/>
        <w:rPr>
          <w:rFonts w:eastAsia="Times New Roman" w:cstheme="minorHAnsi"/>
          <w:color w:val="000000"/>
          <w:sz w:val="20"/>
          <w:szCs w:val="20"/>
          <w:lang w:eastAsia="cs-CZ"/>
        </w:rPr>
      </w:pPr>
    </w:p>
    <w:p w14:paraId="7F0EDCFC" w14:textId="097CF3DE" w:rsidR="00970FDF" w:rsidRPr="00926E63" w:rsidRDefault="00970FDF" w:rsidP="00926E63">
      <w:pPr>
        <w:pStyle w:val="Odstavecseseznamem"/>
        <w:widowControl w:val="0"/>
        <w:numPr>
          <w:ilvl w:val="0"/>
          <w:numId w:val="42"/>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contextualSpacing w:val="0"/>
        <w:jc w:val="center"/>
        <w:outlineLvl w:val="0"/>
        <w:rPr>
          <w:rFonts w:eastAsia="Times New Roman" w:cs="Arial"/>
          <w:b/>
          <w:bCs/>
          <w:color w:val="000000"/>
          <w:szCs w:val="20"/>
          <w:lang w:eastAsia="cs-CZ"/>
        </w:rPr>
      </w:pPr>
      <w:r w:rsidRPr="00970FDF">
        <w:rPr>
          <w:rFonts w:eastAsia="Times New Roman" w:cs="Arial"/>
          <w:b/>
          <w:bCs/>
          <w:color w:val="000000"/>
          <w:szCs w:val="20"/>
          <w:lang w:eastAsia="cs-CZ"/>
        </w:rPr>
        <w:t>Obsah dodatku</w:t>
      </w:r>
    </w:p>
    <w:p w14:paraId="1F927E4B" w14:textId="7DA0982B" w:rsidR="00970FDF" w:rsidRPr="00970FDF" w:rsidRDefault="00970FDF" w:rsidP="00926E63">
      <w:pPr>
        <w:pStyle w:val="Odstavecseseznamem"/>
        <w:keepNext/>
        <w:widowControl w:val="0"/>
        <w:numPr>
          <w:ilvl w:val="0"/>
          <w:numId w:val="44"/>
        </w:numPr>
        <w:tabs>
          <w:tab w:val="left" w:pos="0"/>
        </w:tabs>
        <w:autoSpaceDE w:val="0"/>
        <w:autoSpaceDN w:val="0"/>
        <w:adjustRightInd w:val="0"/>
        <w:spacing w:after="120" w:line="240" w:lineRule="auto"/>
        <w:ind w:left="714" w:hanging="357"/>
        <w:contextualSpacing w:val="0"/>
        <w:jc w:val="both"/>
        <w:outlineLvl w:val="0"/>
        <w:rPr>
          <w:rFonts w:eastAsia="Times New Roman" w:cstheme="minorHAnsi"/>
          <w:sz w:val="20"/>
          <w:szCs w:val="20"/>
          <w:lang w:eastAsia="cs-CZ"/>
        </w:rPr>
      </w:pPr>
      <w:r w:rsidRPr="00BB2B8F">
        <w:rPr>
          <w:rFonts w:eastAsia="Times New Roman" w:cstheme="minorHAnsi"/>
          <w:sz w:val="20"/>
          <w:szCs w:val="20"/>
          <w:lang w:eastAsia="cs-CZ"/>
        </w:rPr>
        <w:t>Smluvní strany se tímto dodatkem dohodly na rozšíření předmětu plnění smlouvy</w:t>
      </w:r>
      <w:r>
        <w:rPr>
          <w:rFonts w:eastAsia="Times New Roman" w:cstheme="minorHAnsi"/>
          <w:sz w:val="20"/>
          <w:szCs w:val="20"/>
          <w:lang w:eastAsia="cs-CZ"/>
        </w:rPr>
        <w:t xml:space="preserve"> ve smyslu </w:t>
      </w:r>
      <w:r w:rsidR="00190951">
        <w:rPr>
          <w:rFonts w:eastAsia="Times New Roman" w:cstheme="minorHAnsi"/>
          <w:sz w:val="20"/>
          <w:szCs w:val="20"/>
          <w:lang w:eastAsia="cs-CZ"/>
        </w:rPr>
        <w:t>dodání</w:t>
      </w:r>
      <w:r>
        <w:rPr>
          <w:rFonts w:eastAsia="Times New Roman" w:cstheme="minorHAnsi"/>
          <w:sz w:val="20"/>
          <w:szCs w:val="20"/>
          <w:lang w:eastAsia="cs-CZ"/>
        </w:rPr>
        <w:t xml:space="preserve"> jednotky pro řízení pohonů pro zvýšení výkonu robota Delta blíže specifikované v příloze A – Technická specifikace a v příloze B – nabídka prodávajícího č. </w:t>
      </w:r>
      <w:r w:rsidRPr="00970FDF">
        <w:rPr>
          <w:rFonts w:eastAsia="Times New Roman" w:cstheme="minorHAnsi"/>
          <w:sz w:val="20"/>
          <w:szCs w:val="20"/>
          <w:lang w:eastAsia="cs-CZ"/>
        </w:rPr>
        <w:t>23-09-055</w:t>
      </w:r>
      <w:r>
        <w:rPr>
          <w:rFonts w:eastAsia="Times New Roman" w:cstheme="minorHAnsi"/>
          <w:sz w:val="20"/>
          <w:szCs w:val="20"/>
          <w:lang w:eastAsia="cs-CZ"/>
        </w:rPr>
        <w:t>.</w:t>
      </w:r>
    </w:p>
    <w:p w14:paraId="5203D2F8" w14:textId="25C8FC9D" w:rsidR="00970FDF" w:rsidRDefault="00970FDF" w:rsidP="00926E63">
      <w:pPr>
        <w:pStyle w:val="Odstavecseseznamem"/>
        <w:keepNext/>
        <w:widowControl w:val="0"/>
        <w:numPr>
          <w:ilvl w:val="0"/>
          <w:numId w:val="44"/>
        </w:numPr>
        <w:tabs>
          <w:tab w:val="left" w:pos="0"/>
        </w:tabs>
        <w:autoSpaceDE w:val="0"/>
        <w:autoSpaceDN w:val="0"/>
        <w:adjustRightInd w:val="0"/>
        <w:spacing w:after="120" w:line="240" w:lineRule="auto"/>
        <w:contextualSpacing w:val="0"/>
        <w:jc w:val="both"/>
        <w:outlineLvl w:val="0"/>
        <w:rPr>
          <w:rFonts w:eastAsia="Times New Roman" w:cstheme="minorHAnsi"/>
          <w:color w:val="000000"/>
          <w:sz w:val="20"/>
          <w:szCs w:val="20"/>
          <w:lang w:eastAsia="cs-CZ"/>
        </w:rPr>
      </w:pPr>
      <w:r w:rsidRPr="00B35E09">
        <w:rPr>
          <w:rFonts w:eastAsia="Times New Roman" w:cstheme="minorHAnsi"/>
          <w:color w:val="000000"/>
          <w:sz w:val="20"/>
          <w:szCs w:val="20"/>
          <w:lang w:eastAsia="cs-CZ"/>
        </w:rPr>
        <w:t xml:space="preserve">Hodnota plnění dle tohoto dodatku je </w:t>
      </w:r>
      <w:r>
        <w:rPr>
          <w:rFonts w:eastAsia="Times New Roman" w:cstheme="minorHAnsi"/>
          <w:color w:val="000000"/>
          <w:sz w:val="20"/>
          <w:szCs w:val="20"/>
          <w:lang w:eastAsia="cs-CZ"/>
        </w:rPr>
        <w:t xml:space="preserve">44 765,- </w:t>
      </w:r>
      <w:r w:rsidRPr="00B35E09">
        <w:rPr>
          <w:rFonts w:eastAsia="Times New Roman" w:cstheme="minorHAnsi"/>
          <w:color w:val="000000"/>
          <w:sz w:val="20"/>
          <w:szCs w:val="20"/>
          <w:lang w:eastAsia="cs-CZ"/>
        </w:rPr>
        <w:t xml:space="preserve">Kč bez DPH; </w:t>
      </w:r>
      <w:r w:rsidRPr="00970FDF">
        <w:rPr>
          <w:rFonts w:eastAsia="Times New Roman" w:cstheme="minorHAnsi"/>
          <w:color w:val="000000"/>
          <w:sz w:val="20"/>
          <w:szCs w:val="20"/>
          <w:lang w:eastAsia="cs-CZ"/>
        </w:rPr>
        <w:t>54</w:t>
      </w:r>
      <w:r>
        <w:rPr>
          <w:rFonts w:eastAsia="Times New Roman" w:cstheme="minorHAnsi"/>
          <w:color w:val="000000"/>
          <w:sz w:val="20"/>
          <w:szCs w:val="20"/>
          <w:lang w:eastAsia="cs-CZ"/>
        </w:rPr>
        <w:t> </w:t>
      </w:r>
      <w:r w:rsidRPr="00970FDF">
        <w:rPr>
          <w:rFonts w:eastAsia="Times New Roman" w:cstheme="minorHAnsi"/>
          <w:color w:val="000000"/>
          <w:sz w:val="20"/>
          <w:szCs w:val="20"/>
          <w:lang w:eastAsia="cs-CZ"/>
        </w:rPr>
        <w:t>165</w:t>
      </w:r>
      <w:r>
        <w:rPr>
          <w:rFonts w:eastAsia="Times New Roman" w:cstheme="minorHAnsi"/>
          <w:color w:val="000000"/>
          <w:sz w:val="20"/>
          <w:szCs w:val="20"/>
          <w:lang w:eastAsia="cs-CZ"/>
        </w:rPr>
        <w:t>,</w:t>
      </w:r>
      <w:r w:rsidRPr="00970FDF">
        <w:rPr>
          <w:rFonts w:eastAsia="Times New Roman" w:cstheme="minorHAnsi"/>
          <w:color w:val="000000"/>
          <w:sz w:val="20"/>
          <w:szCs w:val="20"/>
          <w:lang w:eastAsia="cs-CZ"/>
        </w:rPr>
        <w:t>65</w:t>
      </w:r>
      <w:r>
        <w:rPr>
          <w:rFonts w:eastAsia="Times New Roman" w:cstheme="minorHAnsi"/>
          <w:color w:val="000000"/>
          <w:sz w:val="20"/>
          <w:szCs w:val="20"/>
          <w:lang w:eastAsia="cs-CZ"/>
        </w:rPr>
        <w:t xml:space="preserve"> Kč </w:t>
      </w:r>
      <w:r w:rsidRPr="00B35E09">
        <w:rPr>
          <w:rFonts w:eastAsia="Times New Roman" w:cstheme="minorHAnsi"/>
          <w:color w:val="000000"/>
          <w:sz w:val="20"/>
          <w:szCs w:val="20"/>
          <w:lang w:eastAsia="cs-CZ"/>
        </w:rPr>
        <w:t>vč. DPH.</w:t>
      </w:r>
    </w:p>
    <w:p w14:paraId="77C1581F" w14:textId="59F0329B" w:rsidR="00970FDF" w:rsidRPr="00810588" w:rsidRDefault="00970FDF" w:rsidP="00926E63">
      <w:pPr>
        <w:pStyle w:val="Odstavecseseznamem"/>
        <w:keepNext/>
        <w:widowControl w:val="0"/>
        <w:numPr>
          <w:ilvl w:val="0"/>
          <w:numId w:val="44"/>
        </w:numPr>
        <w:tabs>
          <w:tab w:val="left" w:pos="0"/>
        </w:tabs>
        <w:autoSpaceDE w:val="0"/>
        <w:autoSpaceDN w:val="0"/>
        <w:adjustRightInd w:val="0"/>
        <w:spacing w:after="120" w:line="240" w:lineRule="auto"/>
        <w:contextualSpacing w:val="0"/>
        <w:jc w:val="both"/>
        <w:outlineLvl w:val="0"/>
        <w:rPr>
          <w:rFonts w:eastAsia="Times New Roman" w:cstheme="minorHAnsi"/>
          <w:color w:val="000000"/>
          <w:sz w:val="20"/>
          <w:szCs w:val="20"/>
          <w:lang w:eastAsia="cs-CZ"/>
        </w:rPr>
      </w:pPr>
      <w:r w:rsidRPr="004B1B18">
        <w:rPr>
          <w:rFonts w:eastAsia="Times New Roman" w:cstheme="minorHAnsi"/>
          <w:color w:val="000000"/>
          <w:sz w:val="20"/>
          <w:szCs w:val="20"/>
          <w:lang w:eastAsia="cs-CZ"/>
        </w:rPr>
        <w:t>Lhůta pro dodání zboží, totiž pro jeho fyzickou přepravu do místa plnění</w:t>
      </w:r>
      <w:r w:rsidR="000549F1">
        <w:rPr>
          <w:rFonts w:eastAsia="Times New Roman" w:cstheme="minorHAnsi"/>
          <w:color w:val="000000"/>
          <w:sz w:val="20"/>
          <w:szCs w:val="20"/>
          <w:lang w:eastAsia="cs-CZ"/>
        </w:rPr>
        <w:t xml:space="preserve"> je </w:t>
      </w:r>
      <w:r w:rsidR="00190951">
        <w:rPr>
          <w:rFonts w:eastAsia="Times New Roman" w:cstheme="minorHAnsi"/>
          <w:color w:val="000000"/>
          <w:sz w:val="20"/>
          <w:szCs w:val="20"/>
          <w:lang w:eastAsia="cs-CZ"/>
        </w:rPr>
        <w:t xml:space="preserve">stanovena </w:t>
      </w:r>
      <w:r w:rsidR="000549F1">
        <w:rPr>
          <w:rFonts w:eastAsia="Times New Roman" w:cstheme="minorHAnsi"/>
          <w:color w:val="000000"/>
          <w:sz w:val="20"/>
          <w:szCs w:val="20"/>
          <w:lang w:eastAsia="cs-CZ"/>
        </w:rPr>
        <w:t>do 20.6.2023.</w:t>
      </w:r>
    </w:p>
    <w:p w14:paraId="4F5E89E8" w14:textId="35F89A4A" w:rsidR="00970FDF" w:rsidRDefault="00970FDF" w:rsidP="00926E63">
      <w:pPr>
        <w:pStyle w:val="Odstavecseseznamem"/>
        <w:keepNext/>
        <w:widowControl w:val="0"/>
        <w:numPr>
          <w:ilvl w:val="0"/>
          <w:numId w:val="44"/>
        </w:numPr>
        <w:tabs>
          <w:tab w:val="left" w:pos="0"/>
        </w:tabs>
        <w:autoSpaceDE w:val="0"/>
        <w:autoSpaceDN w:val="0"/>
        <w:adjustRightInd w:val="0"/>
        <w:spacing w:after="120" w:line="240" w:lineRule="auto"/>
        <w:contextualSpacing w:val="0"/>
        <w:jc w:val="both"/>
        <w:outlineLvl w:val="0"/>
        <w:rPr>
          <w:rFonts w:eastAsia="Times New Roman" w:cstheme="minorHAnsi"/>
          <w:color w:val="000000"/>
          <w:sz w:val="20"/>
          <w:szCs w:val="20"/>
          <w:lang w:eastAsia="cs-CZ"/>
        </w:rPr>
      </w:pPr>
      <w:r w:rsidRPr="00104F0B">
        <w:rPr>
          <w:rFonts w:eastAsia="Times New Roman" w:cstheme="minorHAnsi"/>
          <w:color w:val="000000"/>
          <w:sz w:val="20"/>
          <w:szCs w:val="20"/>
          <w:lang w:eastAsia="cs-CZ"/>
        </w:rPr>
        <w:t>V otázkách výslovně neupravených tímto dodatkem platí podmínky stanovené smlouvou.</w:t>
      </w:r>
    </w:p>
    <w:p w14:paraId="1D43D4DD" w14:textId="77777777" w:rsidR="00926E63" w:rsidRPr="005C3F35" w:rsidRDefault="00926E63" w:rsidP="00926E63">
      <w:pPr>
        <w:pStyle w:val="Odstavecseseznamem"/>
        <w:keepNext/>
        <w:widowControl w:val="0"/>
        <w:tabs>
          <w:tab w:val="left" w:pos="0"/>
        </w:tabs>
        <w:autoSpaceDE w:val="0"/>
        <w:autoSpaceDN w:val="0"/>
        <w:adjustRightInd w:val="0"/>
        <w:spacing w:after="120" w:line="240" w:lineRule="auto"/>
        <w:contextualSpacing w:val="0"/>
        <w:jc w:val="both"/>
        <w:outlineLvl w:val="0"/>
        <w:rPr>
          <w:rFonts w:eastAsia="Times New Roman" w:cstheme="minorHAnsi"/>
          <w:color w:val="000000"/>
          <w:sz w:val="20"/>
          <w:szCs w:val="20"/>
          <w:lang w:eastAsia="cs-CZ"/>
        </w:rPr>
      </w:pPr>
    </w:p>
    <w:p w14:paraId="3CF3FE23" w14:textId="77777777" w:rsidR="000549F1" w:rsidRDefault="00970FDF" w:rsidP="000549F1">
      <w:pPr>
        <w:widowControl w:val="0"/>
        <w:tabs>
          <w:tab w:val="left" w:pos="0"/>
        </w:tabs>
        <w:autoSpaceDE w:val="0"/>
        <w:autoSpaceDN w:val="0"/>
        <w:adjustRightInd w:val="0"/>
        <w:spacing w:after="240" w:line="240" w:lineRule="auto"/>
        <w:jc w:val="center"/>
        <w:outlineLvl w:val="0"/>
        <w:rPr>
          <w:rFonts w:cstheme="minorHAnsi"/>
          <w:b/>
          <w:szCs w:val="20"/>
        </w:rPr>
      </w:pPr>
      <w:r w:rsidRPr="00970FDF">
        <w:rPr>
          <w:rFonts w:cstheme="minorHAnsi"/>
          <w:b/>
          <w:szCs w:val="20"/>
        </w:rPr>
        <w:t>III.</w:t>
      </w:r>
      <w:r>
        <w:rPr>
          <w:rFonts w:cstheme="minorHAnsi"/>
          <w:b/>
          <w:szCs w:val="20"/>
        </w:rPr>
        <w:t xml:space="preserve"> </w:t>
      </w:r>
      <w:r w:rsidRPr="00970FDF">
        <w:rPr>
          <w:rFonts w:cstheme="minorHAnsi"/>
          <w:b/>
          <w:szCs w:val="20"/>
        </w:rPr>
        <w:t>Závěrečná ustanovení</w:t>
      </w:r>
    </w:p>
    <w:p w14:paraId="181D2039" w14:textId="77777777" w:rsidR="000549F1" w:rsidRPr="0068198A" w:rsidRDefault="000549F1" w:rsidP="000549F1">
      <w:pPr>
        <w:pStyle w:val="Odstavecseseznamem"/>
        <w:keepNext/>
        <w:widowControl w:val="0"/>
        <w:numPr>
          <w:ilvl w:val="0"/>
          <w:numId w:val="45"/>
        </w:numPr>
        <w:tabs>
          <w:tab w:val="left" w:pos="0"/>
        </w:tabs>
        <w:autoSpaceDE w:val="0"/>
        <w:autoSpaceDN w:val="0"/>
        <w:adjustRightInd w:val="0"/>
        <w:spacing w:after="120" w:line="240" w:lineRule="auto"/>
        <w:contextualSpacing w:val="0"/>
        <w:jc w:val="both"/>
        <w:outlineLvl w:val="0"/>
        <w:rPr>
          <w:rFonts w:eastAsia="Times New Roman" w:cstheme="minorHAnsi"/>
          <w:color w:val="000000"/>
          <w:sz w:val="20"/>
          <w:szCs w:val="20"/>
          <w:lang w:eastAsia="cs-CZ"/>
        </w:rPr>
      </w:pPr>
      <w:r>
        <w:rPr>
          <w:rFonts w:eastAsia="Times New Roman" w:cstheme="minorHAnsi"/>
          <w:color w:val="000000"/>
          <w:sz w:val="20"/>
          <w:szCs w:val="20"/>
          <w:lang w:eastAsia="cs-CZ"/>
        </w:rPr>
        <w:t>Tento dodatek nemá vliv na znění jiných ustanovení smlouvy.</w:t>
      </w:r>
    </w:p>
    <w:p w14:paraId="3069EFA4" w14:textId="77777777" w:rsidR="000549F1" w:rsidRDefault="000549F1" w:rsidP="000549F1">
      <w:pPr>
        <w:pStyle w:val="Odstavecseseznamem"/>
        <w:keepNext/>
        <w:widowControl w:val="0"/>
        <w:numPr>
          <w:ilvl w:val="0"/>
          <w:numId w:val="45"/>
        </w:numPr>
        <w:tabs>
          <w:tab w:val="left" w:pos="0"/>
        </w:tabs>
        <w:autoSpaceDE w:val="0"/>
        <w:autoSpaceDN w:val="0"/>
        <w:adjustRightInd w:val="0"/>
        <w:spacing w:after="120" w:line="240" w:lineRule="auto"/>
        <w:ind w:left="714" w:hanging="357"/>
        <w:contextualSpacing w:val="0"/>
        <w:jc w:val="both"/>
        <w:outlineLvl w:val="0"/>
        <w:rPr>
          <w:rFonts w:cstheme="minorHAnsi"/>
          <w:sz w:val="20"/>
          <w:szCs w:val="20"/>
        </w:rPr>
      </w:pPr>
      <w:r w:rsidRPr="004470E3">
        <w:rPr>
          <w:rFonts w:cstheme="minorHAnsi"/>
          <w:sz w:val="20"/>
          <w:szCs w:val="20"/>
        </w:rPr>
        <w:t xml:space="preserve">Tento dodatek nabývá platnosti okamžikem jeho podpisu oprávněnými zástupci obou smluvních stran a účinnosti jeho uveřejněním podle zákona č. 340/2015 Sb., o registru smluv. Uveřejnění zajistí </w:t>
      </w:r>
      <w:r>
        <w:rPr>
          <w:rFonts w:cstheme="minorHAnsi"/>
          <w:sz w:val="20"/>
          <w:szCs w:val="20"/>
        </w:rPr>
        <w:t>objednatel</w:t>
      </w:r>
      <w:r w:rsidRPr="004470E3">
        <w:rPr>
          <w:rFonts w:cstheme="minorHAnsi"/>
          <w:sz w:val="20"/>
          <w:szCs w:val="20"/>
        </w:rPr>
        <w:t xml:space="preserve">. Smluvní strany s tímto uveřejněním souhlasí; pro účely uveřejnění nepovažují nic </w:t>
      </w:r>
      <w:r>
        <w:rPr>
          <w:rFonts w:cstheme="minorHAnsi"/>
          <w:sz w:val="20"/>
          <w:szCs w:val="20"/>
        </w:rPr>
        <w:t>z dodatku</w:t>
      </w:r>
      <w:r w:rsidRPr="004470E3">
        <w:rPr>
          <w:rFonts w:cstheme="minorHAnsi"/>
          <w:sz w:val="20"/>
          <w:szCs w:val="20"/>
        </w:rPr>
        <w:t xml:space="preserve"> ani z </w:t>
      </w:r>
      <w:proofErr w:type="spellStart"/>
      <w:r w:rsidRPr="004470E3">
        <w:rPr>
          <w:rFonts w:cstheme="minorHAnsi"/>
          <w:sz w:val="20"/>
          <w:szCs w:val="20"/>
        </w:rPr>
        <w:t>metadat</w:t>
      </w:r>
      <w:proofErr w:type="spellEnd"/>
      <w:r w:rsidRPr="004470E3">
        <w:rPr>
          <w:rFonts w:cstheme="minorHAnsi"/>
          <w:sz w:val="20"/>
          <w:szCs w:val="20"/>
        </w:rPr>
        <w:t xml:space="preserve"> k n</w:t>
      </w:r>
      <w:r>
        <w:rPr>
          <w:rFonts w:cstheme="minorHAnsi"/>
          <w:sz w:val="20"/>
          <w:szCs w:val="20"/>
        </w:rPr>
        <w:t>ěmu</w:t>
      </w:r>
      <w:r w:rsidRPr="004470E3">
        <w:rPr>
          <w:rFonts w:cstheme="minorHAnsi"/>
          <w:sz w:val="20"/>
          <w:szCs w:val="20"/>
        </w:rPr>
        <w:t xml:space="preserve"> se vážících za vyloučené z uveřejnění. </w:t>
      </w:r>
    </w:p>
    <w:p w14:paraId="6B1B449C" w14:textId="25BA9A12" w:rsidR="000549F1" w:rsidRPr="00DF4289" w:rsidRDefault="000549F1" w:rsidP="000549F1">
      <w:pPr>
        <w:pStyle w:val="Odstavecseseznamem"/>
        <w:keepNext/>
        <w:widowControl w:val="0"/>
        <w:numPr>
          <w:ilvl w:val="0"/>
          <w:numId w:val="45"/>
        </w:numPr>
        <w:tabs>
          <w:tab w:val="left" w:pos="0"/>
        </w:tabs>
        <w:autoSpaceDE w:val="0"/>
        <w:autoSpaceDN w:val="0"/>
        <w:adjustRightInd w:val="0"/>
        <w:spacing w:after="120" w:line="240" w:lineRule="auto"/>
        <w:jc w:val="both"/>
        <w:outlineLvl w:val="0"/>
        <w:rPr>
          <w:rFonts w:cstheme="minorHAnsi"/>
          <w:sz w:val="20"/>
          <w:szCs w:val="20"/>
        </w:rPr>
      </w:pPr>
      <w:r w:rsidRPr="00DF4289">
        <w:rPr>
          <w:rFonts w:cstheme="minorHAnsi"/>
          <w:sz w:val="20"/>
          <w:szCs w:val="20"/>
        </w:rPr>
        <w:t xml:space="preserve">Nedílnou součástí tohoto dodatku je </w:t>
      </w:r>
      <w:r>
        <w:rPr>
          <w:rFonts w:cstheme="minorHAnsi"/>
          <w:sz w:val="20"/>
          <w:szCs w:val="20"/>
        </w:rPr>
        <w:t xml:space="preserve">příloha A – Technická specifikace a </w:t>
      </w:r>
      <w:r w:rsidRPr="00DF4289">
        <w:rPr>
          <w:rFonts w:cstheme="minorHAnsi"/>
          <w:sz w:val="20"/>
          <w:szCs w:val="20"/>
        </w:rPr>
        <w:t xml:space="preserve">příloha </w:t>
      </w:r>
      <w:r>
        <w:rPr>
          <w:rFonts w:cstheme="minorHAnsi"/>
          <w:sz w:val="20"/>
          <w:szCs w:val="20"/>
        </w:rPr>
        <w:t>B</w:t>
      </w:r>
      <w:r w:rsidRPr="00DF4289">
        <w:rPr>
          <w:rFonts w:cstheme="minorHAnsi"/>
          <w:sz w:val="20"/>
          <w:szCs w:val="20"/>
        </w:rPr>
        <w:t xml:space="preserve"> – nabídka prodávajícího č. </w:t>
      </w:r>
      <w:r w:rsidRPr="00970FDF">
        <w:rPr>
          <w:rFonts w:eastAsia="Times New Roman" w:cstheme="minorHAnsi"/>
          <w:sz w:val="20"/>
          <w:szCs w:val="20"/>
          <w:lang w:eastAsia="cs-CZ"/>
        </w:rPr>
        <w:t>23-09-055</w:t>
      </w:r>
      <w:r w:rsidRPr="00DF4289">
        <w:rPr>
          <w:rFonts w:cstheme="minorHAnsi"/>
          <w:sz w:val="20"/>
          <w:szCs w:val="20"/>
        </w:rPr>
        <w:t>.</w:t>
      </w:r>
    </w:p>
    <w:p w14:paraId="5A52434E" w14:textId="76C04A99" w:rsidR="00D02DB5" w:rsidRPr="000549F1" w:rsidRDefault="00516F84" w:rsidP="000549F1">
      <w:pPr>
        <w:widowControl w:val="0"/>
        <w:tabs>
          <w:tab w:val="left" w:pos="0"/>
        </w:tabs>
        <w:autoSpaceDE w:val="0"/>
        <w:autoSpaceDN w:val="0"/>
        <w:adjustRightInd w:val="0"/>
        <w:spacing w:after="240" w:line="240" w:lineRule="auto"/>
        <w:outlineLvl w:val="0"/>
        <w:rPr>
          <w:rFonts w:cstheme="minorHAnsi"/>
          <w:b/>
          <w:szCs w:val="20"/>
        </w:rPr>
      </w:pPr>
      <w:r w:rsidRPr="00955F6A">
        <w:rPr>
          <w:rFonts w:cstheme="minorHAnsi"/>
          <w:sz w:val="20"/>
          <w:szCs w:val="20"/>
        </w:rPr>
        <w:t xml:space="preserve"> </w:t>
      </w:r>
    </w:p>
    <w:p w14:paraId="24DC2D97" w14:textId="00579012" w:rsidR="001E5ED0" w:rsidRPr="00955F6A" w:rsidRDefault="001E5ED0" w:rsidP="00955F6A">
      <w:pPr>
        <w:tabs>
          <w:tab w:val="left" w:pos="360"/>
        </w:tabs>
        <w:autoSpaceDE w:val="0"/>
        <w:autoSpaceDN w:val="0"/>
        <w:adjustRightInd w:val="0"/>
        <w:spacing w:after="120" w:line="240" w:lineRule="atLeast"/>
        <w:jc w:val="both"/>
        <w:rPr>
          <w:rFonts w:eastAsia="Times New Roman" w:cstheme="minorHAnsi"/>
          <w:color w:val="000000"/>
          <w:sz w:val="20"/>
          <w:szCs w:val="20"/>
          <w:lang w:eastAsia="cs-CZ"/>
        </w:rPr>
      </w:pPr>
      <w:r w:rsidRPr="00955F6A">
        <w:rPr>
          <w:rFonts w:eastAsia="Times New Roman" w:cstheme="minorHAnsi"/>
          <w:noProof/>
          <w:sz w:val="20"/>
          <w:szCs w:val="20"/>
          <w:lang w:eastAsia="cs-CZ"/>
        </w:rPr>
        <w:t>Obě smluvní strany prohlašují, že si</w:t>
      </w:r>
      <w:r w:rsidR="00620758" w:rsidRPr="00955F6A">
        <w:rPr>
          <w:rFonts w:eastAsia="Times New Roman" w:cstheme="minorHAnsi"/>
          <w:noProof/>
          <w:sz w:val="20"/>
          <w:szCs w:val="20"/>
          <w:lang w:eastAsia="cs-CZ"/>
        </w:rPr>
        <w:t xml:space="preserve"> dod</w:t>
      </w:r>
      <w:r w:rsidR="00737525" w:rsidRPr="00955F6A">
        <w:rPr>
          <w:rFonts w:eastAsia="Times New Roman" w:cstheme="minorHAnsi"/>
          <w:noProof/>
          <w:sz w:val="20"/>
          <w:szCs w:val="20"/>
          <w:lang w:eastAsia="cs-CZ"/>
        </w:rPr>
        <w:t>atek před jeho podpisem přečetly</w:t>
      </w:r>
      <w:r w:rsidR="00620758" w:rsidRPr="00955F6A">
        <w:rPr>
          <w:rFonts w:eastAsia="Times New Roman" w:cstheme="minorHAnsi"/>
          <w:noProof/>
          <w:sz w:val="20"/>
          <w:szCs w:val="20"/>
          <w:lang w:eastAsia="cs-CZ"/>
        </w:rPr>
        <w:t xml:space="preserve"> a jeho </w:t>
      </w:r>
      <w:r w:rsidRPr="00955F6A">
        <w:rPr>
          <w:rFonts w:eastAsia="Times New Roman" w:cstheme="minorHAnsi"/>
          <w:noProof/>
          <w:sz w:val="20"/>
          <w:szCs w:val="20"/>
          <w:lang w:eastAsia="cs-CZ"/>
        </w:rPr>
        <w:t>text odpovídá pravé a svobodné vůli smluvních</w:t>
      </w:r>
      <w:r w:rsidR="0019419A" w:rsidRPr="00955F6A">
        <w:rPr>
          <w:rFonts w:eastAsia="Times New Roman" w:cstheme="minorHAnsi"/>
          <w:color w:val="000000"/>
          <w:sz w:val="20"/>
          <w:szCs w:val="20"/>
          <w:lang w:eastAsia="cs-CZ"/>
        </w:rPr>
        <w:t xml:space="preserve"> stran, což potvrzují zástupci smluvních stran svými</w:t>
      </w:r>
      <w:r w:rsidRPr="00955F6A">
        <w:rPr>
          <w:rFonts w:eastAsia="Times New Roman" w:cstheme="minorHAnsi"/>
          <w:color w:val="000000"/>
          <w:sz w:val="20"/>
          <w:szCs w:val="20"/>
          <w:lang w:eastAsia="cs-CZ"/>
        </w:rPr>
        <w:t xml:space="preserve"> podpisy:</w:t>
      </w:r>
    </w:p>
    <w:p w14:paraId="5CE04DE2" w14:textId="36555E89" w:rsidR="006C636C" w:rsidRPr="00955F6A" w:rsidRDefault="006C636C"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outlineLvl w:val="0"/>
        <w:rPr>
          <w:rFonts w:eastAsia="Times New Roman" w:cstheme="minorHAnsi"/>
          <w:noProof/>
          <w:color w:val="000000"/>
          <w:sz w:val="20"/>
          <w:szCs w:val="20"/>
          <w:lang w:eastAsia="cs-CZ"/>
        </w:rPr>
      </w:pPr>
    </w:p>
    <w:p w14:paraId="14BC6CBB" w14:textId="23F967C5" w:rsidR="001E5ED0" w:rsidRPr="00955F6A" w:rsidRDefault="001E5ED0"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sz w:val="20"/>
          <w:szCs w:val="20"/>
          <w:lang w:eastAsia="cs-CZ"/>
        </w:rPr>
      </w:pPr>
      <w:r w:rsidRPr="00955F6A">
        <w:rPr>
          <w:rFonts w:eastAsia="Times New Roman" w:cstheme="minorHAnsi"/>
          <w:noProof/>
          <w:color w:val="000000"/>
          <w:sz w:val="20"/>
          <w:szCs w:val="20"/>
          <w:lang w:eastAsia="cs-CZ"/>
        </w:rPr>
        <w:t>Za kupujícího</w:t>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r>
      <w:r w:rsidRPr="00955F6A">
        <w:rPr>
          <w:rFonts w:eastAsia="Times New Roman" w:cstheme="minorHAnsi"/>
          <w:noProof/>
          <w:color w:val="000000"/>
          <w:sz w:val="20"/>
          <w:szCs w:val="20"/>
          <w:lang w:eastAsia="cs-CZ"/>
        </w:rPr>
        <w:tab/>
        <w:t>Za prodávajícího</w:t>
      </w:r>
    </w:p>
    <w:p w14:paraId="49F30331" w14:textId="02B57637" w:rsidR="001E5ED0" w:rsidRDefault="001E5ED0"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sz w:val="20"/>
          <w:szCs w:val="20"/>
          <w:lang w:eastAsia="cs-CZ"/>
        </w:rPr>
      </w:pPr>
    </w:p>
    <w:p w14:paraId="0684CF03" w14:textId="77777777" w:rsidR="000549F1" w:rsidRPr="00955F6A" w:rsidRDefault="000549F1"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noProof/>
          <w:color w:val="000000"/>
          <w:sz w:val="20"/>
          <w:szCs w:val="20"/>
          <w:lang w:eastAsia="cs-CZ"/>
        </w:rPr>
      </w:pPr>
    </w:p>
    <w:p w14:paraId="5DBB38B6" w14:textId="3B6E6AD4" w:rsidR="006C636C" w:rsidRPr="00955F6A" w:rsidRDefault="006C636C"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16051FE2" w14:textId="5DA4E4E9" w:rsidR="001E5ED0" w:rsidRPr="00955F6A" w:rsidRDefault="001E5ED0"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19EEA73F" w14:textId="7C8051D8" w:rsidR="001E5ED0" w:rsidRPr="00955F6A" w:rsidRDefault="001E5ED0" w:rsidP="0019419A">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r w:rsidRPr="00955F6A">
        <w:rPr>
          <w:rFonts w:eastAsia="Times New Roman" w:cstheme="minorHAnsi"/>
          <w:color w:val="000000"/>
          <w:sz w:val="20"/>
          <w:szCs w:val="20"/>
          <w:lang w:eastAsia="cs-CZ"/>
        </w:rPr>
        <w:t>___________________________</w:t>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t>___________________________</w:t>
      </w:r>
    </w:p>
    <w:p w14:paraId="64497924" w14:textId="28D0FFFF" w:rsidR="00F41700" w:rsidRDefault="007F649F" w:rsidP="00F4170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cs="Calibri"/>
          <w:sz w:val="20"/>
          <w:szCs w:val="20"/>
        </w:rPr>
      </w:pP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Pr="00955F6A">
        <w:rPr>
          <w:rFonts w:eastAsia="Times New Roman" w:cstheme="minorHAnsi"/>
          <w:color w:val="000000"/>
          <w:sz w:val="20"/>
          <w:szCs w:val="20"/>
          <w:lang w:eastAsia="cs-CZ"/>
        </w:rPr>
        <w:tab/>
      </w:r>
      <w:r w:rsidR="00F41700">
        <w:rPr>
          <w:rFonts w:eastAsia="Times New Roman" w:cstheme="minorHAnsi"/>
          <w:color w:val="000000"/>
          <w:sz w:val="20"/>
          <w:szCs w:val="20"/>
          <w:lang w:eastAsia="cs-CZ"/>
        </w:rPr>
        <w:tab/>
      </w:r>
    </w:p>
    <w:p w14:paraId="0847D3F1" w14:textId="469A6837" w:rsidR="00F41700" w:rsidRDefault="00F41700" w:rsidP="00F4170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cs="Calibri"/>
          <w:sz w:val="20"/>
          <w:szCs w:val="20"/>
        </w:rPr>
      </w:pPr>
    </w:p>
    <w:p w14:paraId="2C9CF181" w14:textId="30064DF5" w:rsidR="00F41700" w:rsidRDefault="00F41700" w:rsidP="00F4170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7CE96C62" w14:textId="77777777" w:rsidR="000549F1" w:rsidRDefault="000549F1" w:rsidP="00F4170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71FFE5E9" w14:textId="01242332" w:rsidR="00F41700" w:rsidRDefault="00F41700" w:rsidP="00F4170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6266D8E7" w14:textId="71341747" w:rsidR="00F41700" w:rsidRDefault="00F41700" w:rsidP="00F4170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240" w:hanging="284"/>
        <w:rPr>
          <w:rFonts w:eastAsia="Times New Roman" w:cstheme="minorHAnsi"/>
          <w:color w:val="000000"/>
          <w:sz w:val="20"/>
          <w:szCs w:val="20"/>
          <w:lang w:eastAsia="cs-CZ"/>
        </w:rPr>
      </w:pPr>
      <w:r w:rsidRPr="00955F6A">
        <w:rPr>
          <w:rFonts w:eastAsia="Times New Roman" w:cstheme="minorHAnsi"/>
          <w:color w:val="000000"/>
          <w:sz w:val="20"/>
          <w:szCs w:val="20"/>
          <w:lang w:eastAsia="cs-CZ"/>
        </w:rPr>
        <w:t>___________________________</w:t>
      </w:r>
    </w:p>
    <w:p w14:paraId="27CC3EFF" w14:textId="77777777" w:rsidR="00B6178C" w:rsidRDefault="00B6178C" w:rsidP="00190EF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cs="Calibri"/>
          <w:sz w:val="20"/>
          <w:szCs w:val="20"/>
        </w:rPr>
      </w:pPr>
    </w:p>
    <w:p w14:paraId="5BB01DAE" w14:textId="77777777" w:rsidR="00B6178C" w:rsidRDefault="00B6178C" w:rsidP="00190EF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p>
    <w:p w14:paraId="72B9E980" w14:textId="6199932D" w:rsidR="00190EF4" w:rsidRPr="00955F6A" w:rsidRDefault="007F649F" w:rsidP="00190EF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theme="minorHAnsi"/>
          <w:color w:val="000000"/>
          <w:sz w:val="20"/>
          <w:szCs w:val="20"/>
          <w:lang w:eastAsia="cs-CZ"/>
        </w:rPr>
      </w:pPr>
      <w:bookmarkStart w:id="0" w:name="_GoBack"/>
      <w:bookmarkEnd w:id="0"/>
      <w:r w:rsidRPr="00955F6A">
        <w:rPr>
          <w:rFonts w:eastAsia="Times New Roman" w:cstheme="minorHAnsi"/>
          <w:color w:val="000000"/>
          <w:sz w:val="20"/>
          <w:szCs w:val="20"/>
          <w:lang w:eastAsia="cs-CZ"/>
        </w:rPr>
        <w:tab/>
      </w:r>
    </w:p>
    <w:p w14:paraId="02A89F5C" w14:textId="77777777" w:rsidR="00926E63" w:rsidRDefault="00926E63" w:rsidP="000549F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jc w:val="center"/>
        <w:rPr>
          <w:rFonts w:eastAsia="Times New Roman" w:cstheme="minorHAnsi"/>
          <w:b/>
          <w:color w:val="000000"/>
          <w:sz w:val="24"/>
          <w:szCs w:val="20"/>
          <w:lang w:eastAsia="cs-CZ"/>
        </w:rPr>
      </w:pPr>
    </w:p>
    <w:p w14:paraId="165D3379" w14:textId="77777777" w:rsidR="00926E63" w:rsidRDefault="00926E63" w:rsidP="000549F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jc w:val="center"/>
        <w:rPr>
          <w:rFonts w:eastAsia="Times New Roman" w:cstheme="minorHAnsi"/>
          <w:b/>
          <w:color w:val="000000"/>
          <w:sz w:val="24"/>
          <w:szCs w:val="20"/>
          <w:lang w:eastAsia="cs-CZ"/>
        </w:rPr>
      </w:pPr>
    </w:p>
    <w:p w14:paraId="7CBA81E8" w14:textId="19F63BB4" w:rsidR="007F649F" w:rsidRDefault="000549F1" w:rsidP="000549F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jc w:val="center"/>
        <w:rPr>
          <w:rFonts w:eastAsia="Times New Roman" w:cstheme="minorHAnsi"/>
          <w:b/>
          <w:color w:val="000000"/>
          <w:sz w:val="24"/>
          <w:szCs w:val="20"/>
          <w:lang w:eastAsia="cs-CZ"/>
        </w:rPr>
      </w:pPr>
      <w:r w:rsidRPr="000549F1">
        <w:rPr>
          <w:rFonts w:eastAsia="Times New Roman" w:cstheme="minorHAnsi"/>
          <w:b/>
          <w:color w:val="000000"/>
          <w:sz w:val="24"/>
          <w:szCs w:val="20"/>
          <w:lang w:eastAsia="cs-CZ"/>
        </w:rPr>
        <w:lastRenderedPageBreak/>
        <w:t>Příloha A – Technická specifikace</w:t>
      </w:r>
    </w:p>
    <w:tbl>
      <w:tblPr>
        <w:tblStyle w:val="Mkatabulky"/>
        <w:tblW w:w="9351" w:type="dxa"/>
        <w:tblCellMar>
          <w:bottom w:w="57" w:type="dxa"/>
        </w:tblCellMar>
        <w:tblLook w:val="04A0" w:firstRow="1" w:lastRow="0" w:firstColumn="1" w:lastColumn="0" w:noHBand="0" w:noVBand="1"/>
      </w:tblPr>
      <w:tblGrid>
        <w:gridCol w:w="2793"/>
        <w:gridCol w:w="3298"/>
        <w:gridCol w:w="3260"/>
      </w:tblGrid>
      <w:tr w:rsidR="00926E63" w:rsidRPr="00952DFE" w14:paraId="79C5736A" w14:textId="77777777" w:rsidTr="00E86F07">
        <w:tc>
          <w:tcPr>
            <w:tcW w:w="2793" w:type="dxa"/>
            <w:tcBorders>
              <w:bottom w:val="single" w:sz="4" w:space="0" w:color="auto"/>
            </w:tcBorders>
            <w:shd w:val="clear" w:color="auto" w:fill="auto"/>
            <w:vAlign w:val="center"/>
          </w:tcPr>
          <w:p w14:paraId="66A69792" w14:textId="3F36CD58" w:rsidR="00926E63" w:rsidRPr="00952DFE" w:rsidRDefault="00926E63" w:rsidP="00926E63">
            <w:pPr>
              <w:pStyle w:val="Standard"/>
              <w:contextualSpacing/>
              <w:rPr>
                <w:rFonts w:asciiTheme="minorHAnsi" w:hAnsiTheme="minorHAnsi" w:cstheme="minorHAnsi"/>
                <w:b/>
                <w:sz w:val="20"/>
                <w:szCs w:val="20"/>
              </w:rPr>
            </w:pPr>
            <w:r w:rsidRPr="00952DFE">
              <w:rPr>
                <w:rFonts w:asciiTheme="minorHAnsi" w:hAnsiTheme="minorHAnsi" w:cstheme="minorHAnsi"/>
                <w:b/>
                <w:sz w:val="20"/>
                <w:szCs w:val="20"/>
              </w:rPr>
              <w:t>Odborná charakteristika</w:t>
            </w:r>
            <w:r w:rsidRPr="00952DFE">
              <w:rPr>
                <w:rFonts w:asciiTheme="minorHAnsi" w:hAnsiTheme="minorHAnsi" w:cstheme="minorHAnsi"/>
                <w:sz w:val="20"/>
                <w:szCs w:val="20"/>
              </w:rPr>
              <w:t xml:space="preserve"> </w:t>
            </w:r>
          </w:p>
          <w:p w14:paraId="2011A3AB" w14:textId="2D9C4A86" w:rsidR="00926E63" w:rsidRPr="00952DFE" w:rsidRDefault="00926E63" w:rsidP="00E86F07">
            <w:pPr>
              <w:pStyle w:val="Standard"/>
              <w:contextualSpacing/>
              <w:rPr>
                <w:rFonts w:asciiTheme="minorHAnsi" w:hAnsiTheme="minorHAnsi" w:cstheme="minorHAnsi"/>
                <w:b/>
                <w:sz w:val="20"/>
                <w:szCs w:val="20"/>
              </w:rPr>
            </w:pPr>
          </w:p>
        </w:tc>
        <w:tc>
          <w:tcPr>
            <w:tcW w:w="6558" w:type="dxa"/>
            <w:gridSpan w:val="2"/>
            <w:tcBorders>
              <w:bottom w:val="single" w:sz="4" w:space="0" w:color="auto"/>
            </w:tcBorders>
          </w:tcPr>
          <w:p w14:paraId="5FC0929D" w14:textId="77777777" w:rsidR="00926E63" w:rsidRPr="00926E63" w:rsidRDefault="00926E63" w:rsidP="00E86F07">
            <w:pPr>
              <w:pStyle w:val="Standard"/>
              <w:contextualSpacing/>
              <w:rPr>
                <w:rFonts w:asciiTheme="minorHAnsi" w:hAnsiTheme="minorHAnsi" w:cstheme="minorHAnsi"/>
                <w:sz w:val="20"/>
                <w:szCs w:val="20"/>
              </w:rPr>
            </w:pPr>
            <w:r w:rsidRPr="00926E63">
              <w:rPr>
                <w:rFonts w:asciiTheme="minorHAnsi" w:hAnsiTheme="minorHAnsi" w:cstheme="minorHAnsi"/>
                <w:sz w:val="20"/>
                <w:szCs w:val="20"/>
              </w:rPr>
              <w:t xml:space="preserve">Delta robot propojený s lineárním dopravníkem MCS využívá funkce </w:t>
            </w:r>
            <w:proofErr w:type="spellStart"/>
            <w:r w:rsidRPr="00926E63">
              <w:rPr>
                <w:rFonts w:asciiTheme="minorHAnsi" w:hAnsiTheme="minorHAnsi" w:cstheme="minorHAnsi"/>
                <w:sz w:val="20"/>
                <w:szCs w:val="20"/>
              </w:rPr>
              <w:t>SafeKinematics</w:t>
            </w:r>
            <w:proofErr w:type="spellEnd"/>
            <w:r w:rsidRPr="00926E63">
              <w:rPr>
                <w:rFonts w:asciiTheme="minorHAnsi" w:hAnsiTheme="minorHAnsi" w:cstheme="minorHAnsi"/>
                <w:sz w:val="20"/>
                <w:szCs w:val="20"/>
              </w:rPr>
              <w:t xml:space="preserve"> pro bezpečné hlídání pracovního prostoru jednak v režimu ručního navádění, jednak v režimu, kdy jsou trajektorie pohybu generovány externím nástrojem (např. </w:t>
            </w:r>
            <w:proofErr w:type="spellStart"/>
            <w:r w:rsidRPr="00926E63">
              <w:rPr>
                <w:rFonts w:asciiTheme="minorHAnsi" w:hAnsiTheme="minorHAnsi" w:cstheme="minorHAnsi"/>
                <w:sz w:val="20"/>
                <w:szCs w:val="20"/>
              </w:rPr>
              <w:t>Matlab</w:t>
            </w:r>
            <w:proofErr w:type="spellEnd"/>
            <w:r w:rsidRPr="00926E63">
              <w:rPr>
                <w:rFonts w:asciiTheme="minorHAnsi" w:hAnsiTheme="minorHAnsi" w:cstheme="minorHAnsi"/>
                <w:sz w:val="20"/>
                <w:szCs w:val="20"/>
              </w:rPr>
              <w:t>/</w:t>
            </w:r>
            <w:proofErr w:type="spellStart"/>
            <w:r w:rsidRPr="00926E63">
              <w:rPr>
                <w:rFonts w:asciiTheme="minorHAnsi" w:hAnsiTheme="minorHAnsi" w:cstheme="minorHAnsi"/>
                <w:sz w:val="20"/>
                <w:szCs w:val="20"/>
              </w:rPr>
              <w:t>Simulink</w:t>
            </w:r>
            <w:proofErr w:type="spellEnd"/>
            <w:r w:rsidRPr="00926E63">
              <w:rPr>
                <w:rFonts w:asciiTheme="minorHAnsi" w:hAnsiTheme="minorHAnsi" w:cstheme="minorHAnsi"/>
                <w:sz w:val="20"/>
                <w:szCs w:val="20"/>
              </w:rPr>
              <w:t>) a kdy je třeba nezávisle hlídat, aby robot svůj pracovní prostor neopustil. Podstatnou charakteristikou robota je jeho řízení pohony na komunikaci PROFINET IRT, což umožňuje snadnou integraci a tím i synchronizaci robota právě s dopravníkem. Robot v současné době obsahuje jednu řídicí jednotku pohybu CU320-2, která zajišťuje polohové řízení všech pěti os robota. Osazením druhé jednotky lze na ni přesunout řízení dvou os robota a díky tomu zkrátit regulační (a komunikační) cyklus stroje.</w:t>
            </w:r>
          </w:p>
        </w:tc>
      </w:tr>
      <w:tr w:rsidR="00926E63" w:rsidRPr="00952DFE" w14:paraId="382097A4" w14:textId="77777777" w:rsidTr="00E86F07">
        <w:tc>
          <w:tcPr>
            <w:tcW w:w="2793" w:type="dxa"/>
            <w:tcBorders>
              <w:bottom w:val="nil"/>
            </w:tcBorders>
            <w:shd w:val="clear" w:color="auto" w:fill="auto"/>
            <w:vAlign w:val="center"/>
          </w:tcPr>
          <w:p w14:paraId="26E9964E" w14:textId="77777777" w:rsidR="00926E63" w:rsidRPr="00952DFE" w:rsidRDefault="00926E63" w:rsidP="00E86F07">
            <w:pPr>
              <w:pStyle w:val="Standard"/>
              <w:contextualSpacing/>
              <w:rPr>
                <w:rFonts w:asciiTheme="minorHAnsi" w:hAnsiTheme="minorHAnsi" w:cstheme="minorHAnsi"/>
                <w:b/>
                <w:sz w:val="20"/>
                <w:szCs w:val="20"/>
              </w:rPr>
            </w:pPr>
            <w:r w:rsidRPr="00952DFE">
              <w:rPr>
                <w:rFonts w:asciiTheme="minorHAnsi" w:hAnsiTheme="minorHAnsi" w:cstheme="minorHAnsi"/>
                <w:b/>
                <w:sz w:val="20"/>
                <w:szCs w:val="20"/>
              </w:rPr>
              <w:t>Účel pořizovaného vybavení</w:t>
            </w:r>
          </w:p>
          <w:p w14:paraId="6A37FE48" w14:textId="4CEA8FD7" w:rsidR="00926E63" w:rsidRPr="00952DFE" w:rsidRDefault="00926E63" w:rsidP="00E86F07">
            <w:pPr>
              <w:pStyle w:val="Standard"/>
              <w:contextualSpacing/>
              <w:rPr>
                <w:rFonts w:asciiTheme="minorHAnsi" w:hAnsiTheme="minorHAnsi" w:cstheme="minorHAnsi"/>
                <w:sz w:val="20"/>
                <w:szCs w:val="20"/>
              </w:rPr>
            </w:pPr>
          </w:p>
        </w:tc>
        <w:tc>
          <w:tcPr>
            <w:tcW w:w="6558" w:type="dxa"/>
            <w:gridSpan w:val="2"/>
            <w:tcBorders>
              <w:bottom w:val="nil"/>
            </w:tcBorders>
          </w:tcPr>
          <w:p w14:paraId="01230918" w14:textId="77777777" w:rsidR="00926E63" w:rsidRPr="00926E63" w:rsidRDefault="00926E63" w:rsidP="00E86F07">
            <w:pPr>
              <w:pStyle w:val="Standard"/>
              <w:contextualSpacing/>
              <w:rPr>
                <w:rFonts w:asciiTheme="minorHAnsi" w:hAnsiTheme="minorHAnsi" w:cstheme="minorHAnsi"/>
                <w:color w:val="FF0000"/>
                <w:sz w:val="20"/>
                <w:szCs w:val="20"/>
              </w:rPr>
            </w:pPr>
            <w:r w:rsidRPr="00926E63">
              <w:rPr>
                <w:rFonts w:asciiTheme="minorHAnsi" w:hAnsiTheme="minorHAnsi" w:cstheme="minorHAnsi"/>
                <w:sz w:val="20"/>
                <w:szCs w:val="20"/>
              </w:rPr>
              <w:t xml:space="preserve">Tento systém kombinující robot s paralelní kinematikou a dopravníkem pro synchronizované řízení je vysoce náročný na přesné synchronizované řízení několika polohových os, pro něž je třeba řešit kinematickou úlohu jak na úrovni plánování trajektorie, tak na úrovni návrhu lokálních regulačních smyček. Bezpečné hlídání pracovního prostoru </w:t>
            </w:r>
            <w:proofErr w:type="spellStart"/>
            <w:r w:rsidRPr="00926E63">
              <w:rPr>
                <w:rFonts w:asciiTheme="minorHAnsi" w:hAnsiTheme="minorHAnsi" w:cstheme="minorHAnsi"/>
                <w:sz w:val="20"/>
                <w:szCs w:val="20"/>
              </w:rPr>
              <w:t>SafeKinematics</w:t>
            </w:r>
            <w:proofErr w:type="spellEnd"/>
            <w:r w:rsidRPr="00926E63">
              <w:rPr>
                <w:rFonts w:asciiTheme="minorHAnsi" w:hAnsiTheme="minorHAnsi" w:cstheme="minorHAnsi"/>
                <w:sz w:val="20"/>
                <w:szCs w:val="20"/>
              </w:rPr>
              <w:t xml:space="preserve"> je ale výpočetně náročné nejen na straně PLC, ale i na straně polohových řídicích jednotek. Proto je nutné pořídit další jednotku CU320-2 spolu s potřebnými licencemi pro pokročilé bezpečnostní funkce, aby se stávajícímu systému ulehčilo a bylo možné zkrátit dobu regulačního cyklu.</w:t>
            </w:r>
          </w:p>
        </w:tc>
      </w:tr>
      <w:tr w:rsidR="00926E63" w:rsidRPr="00952DFE" w14:paraId="01CFDF3B" w14:textId="77777777" w:rsidTr="00E86F07">
        <w:tc>
          <w:tcPr>
            <w:tcW w:w="2793" w:type="dxa"/>
            <w:tcBorders>
              <w:top w:val="single" w:sz="4" w:space="0" w:color="auto"/>
            </w:tcBorders>
            <w:shd w:val="clear" w:color="auto" w:fill="auto"/>
            <w:vAlign w:val="center"/>
          </w:tcPr>
          <w:p w14:paraId="556631B7" w14:textId="2907DC54" w:rsidR="00926E63" w:rsidRPr="00952DFE" w:rsidRDefault="00926E63" w:rsidP="00E86F07">
            <w:pPr>
              <w:pStyle w:val="Standard"/>
              <w:contextualSpacing/>
              <w:rPr>
                <w:rFonts w:asciiTheme="minorHAnsi" w:hAnsiTheme="minorHAnsi" w:cstheme="minorHAnsi"/>
                <w:sz w:val="20"/>
                <w:szCs w:val="20"/>
              </w:rPr>
            </w:pPr>
            <w:r w:rsidRPr="00952DFE">
              <w:rPr>
                <w:rFonts w:asciiTheme="minorHAnsi" w:hAnsiTheme="minorHAnsi" w:cstheme="minorHAnsi"/>
                <w:b/>
                <w:sz w:val="20"/>
                <w:szCs w:val="20"/>
              </w:rPr>
              <w:t>Odůvodnění</w:t>
            </w:r>
          </w:p>
        </w:tc>
        <w:tc>
          <w:tcPr>
            <w:tcW w:w="6558" w:type="dxa"/>
            <w:gridSpan w:val="2"/>
            <w:tcBorders>
              <w:top w:val="single" w:sz="4" w:space="0" w:color="auto"/>
            </w:tcBorders>
          </w:tcPr>
          <w:p w14:paraId="4C8E1531" w14:textId="77777777" w:rsidR="00926E63" w:rsidRPr="00926E63" w:rsidRDefault="00926E63" w:rsidP="00E86F07">
            <w:pPr>
              <w:rPr>
                <w:rFonts w:asciiTheme="minorHAnsi" w:hAnsiTheme="minorHAnsi" w:cstheme="minorHAnsi"/>
                <w:color w:val="00000A"/>
                <w:kern w:val="3"/>
              </w:rPr>
            </w:pPr>
            <w:r w:rsidRPr="00926E63">
              <w:rPr>
                <w:rFonts w:asciiTheme="minorHAnsi" w:hAnsiTheme="minorHAnsi" w:cstheme="minorHAnsi"/>
              </w:rPr>
              <w:t xml:space="preserve">Kvůli zavedení funkcí </w:t>
            </w:r>
            <w:proofErr w:type="spellStart"/>
            <w:r w:rsidRPr="00926E63">
              <w:rPr>
                <w:rFonts w:asciiTheme="minorHAnsi" w:hAnsiTheme="minorHAnsi" w:cstheme="minorHAnsi"/>
              </w:rPr>
              <w:t>SafeKinematics</w:t>
            </w:r>
            <w:proofErr w:type="spellEnd"/>
            <w:r w:rsidRPr="00926E63">
              <w:rPr>
                <w:rFonts w:asciiTheme="minorHAnsi" w:hAnsiTheme="minorHAnsi" w:cstheme="minorHAnsi"/>
              </w:rPr>
              <w:t xml:space="preserve"> pro bezpečné hlídání pracovního prostoru jsou pohonné jednotky CU320 hodně vytížené, a proto není možné snížit dobu cyklu pod 4 </w:t>
            </w:r>
            <w:proofErr w:type="spellStart"/>
            <w:r w:rsidRPr="00926E63">
              <w:rPr>
                <w:rFonts w:asciiTheme="minorHAnsi" w:hAnsiTheme="minorHAnsi" w:cstheme="minorHAnsi"/>
              </w:rPr>
              <w:t>ms</w:t>
            </w:r>
            <w:proofErr w:type="spellEnd"/>
            <w:r w:rsidRPr="00926E63">
              <w:rPr>
                <w:rFonts w:asciiTheme="minorHAnsi" w:hAnsiTheme="minorHAnsi" w:cstheme="minorHAnsi"/>
              </w:rPr>
              <w:t>, což je nutné pro plynulejší řízení jednotlivých os.</w:t>
            </w:r>
          </w:p>
        </w:tc>
      </w:tr>
      <w:tr w:rsidR="00DA669D" w:rsidRPr="00952DFE" w14:paraId="34E1EFC6" w14:textId="77777777" w:rsidTr="00DA669D">
        <w:tc>
          <w:tcPr>
            <w:tcW w:w="2793" w:type="dxa"/>
            <w:vMerge w:val="restart"/>
            <w:shd w:val="clear" w:color="auto" w:fill="auto"/>
            <w:vAlign w:val="center"/>
          </w:tcPr>
          <w:p w14:paraId="6CE6DA08" w14:textId="67BCF9A9" w:rsidR="00DA669D" w:rsidRPr="00952DFE" w:rsidRDefault="00DA669D" w:rsidP="00E86F07">
            <w:pPr>
              <w:pStyle w:val="Standard"/>
              <w:contextualSpacing/>
              <w:rPr>
                <w:rFonts w:asciiTheme="minorHAnsi" w:hAnsiTheme="minorHAnsi" w:cstheme="minorHAnsi"/>
                <w:b/>
                <w:sz w:val="20"/>
                <w:szCs w:val="20"/>
              </w:rPr>
            </w:pPr>
            <w:bookmarkStart w:id="1" w:name="_Hlk42500816"/>
            <w:r w:rsidRPr="00952DFE">
              <w:rPr>
                <w:rFonts w:asciiTheme="minorHAnsi" w:hAnsiTheme="minorHAnsi" w:cstheme="minorHAnsi"/>
                <w:b/>
                <w:sz w:val="20"/>
                <w:szCs w:val="20"/>
              </w:rPr>
              <w:t xml:space="preserve">Technické parametry: </w:t>
            </w:r>
          </w:p>
          <w:p w14:paraId="6F47616F" w14:textId="3C059CBB" w:rsidR="00DA669D" w:rsidRPr="00952DFE" w:rsidRDefault="00DA669D" w:rsidP="00E86F07">
            <w:pPr>
              <w:pStyle w:val="Standard"/>
              <w:contextualSpacing/>
              <w:rPr>
                <w:rFonts w:asciiTheme="minorHAnsi" w:hAnsiTheme="minorHAnsi" w:cstheme="minorHAnsi"/>
                <w:sz w:val="20"/>
                <w:szCs w:val="20"/>
              </w:rPr>
            </w:pPr>
          </w:p>
        </w:tc>
        <w:tc>
          <w:tcPr>
            <w:tcW w:w="3298" w:type="dxa"/>
          </w:tcPr>
          <w:p w14:paraId="2071DB55" w14:textId="02D4F01A" w:rsidR="00DA669D" w:rsidRPr="00952DFE" w:rsidRDefault="00DA669D" w:rsidP="00E86F07">
            <w:pPr>
              <w:pStyle w:val="Standard"/>
              <w:contextualSpacing/>
              <w:jc w:val="center"/>
              <w:rPr>
                <w:rFonts w:asciiTheme="minorHAnsi" w:hAnsiTheme="minorHAnsi" w:cstheme="minorHAnsi"/>
                <w:b/>
                <w:sz w:val="20"/>
                <w:szCs w:val="20"/>
              </w:rPr>
            </w:pPr>
            <w:r w:rsidRPr="00952DFE">
              <w:rPr>
                <w:rFonts w:asciiTheme="minorHAnsi" w:hAnsiTheme="minorHAnsi" w:cstheme="minorHAnsi"/>
                <w:b/>
                <w:sz w:val="20"/>
                <w:szCs w:val="20"/>
              </w:rPr>
              <w:t>Popis parametru:</w:t>
            </w:r>
          </w:p>
        </w:tc>
        <w:tc>
          <w:tcPr>
            <w:tcW w:w="3260" w:type="dxa"/>
          </w:tcPr>
          <w:p w14:paraId="4AF81708" w14:textId="65E70F24" w:rsidR="00DA669D" w:rsidRPr="00952DFE" w:rsidRDefault="00DA669D" w:rsidP="00E86F07">
            <w:pPr>
              <w:pStyle w:val="Standard"/>
              <w:contextualSpacing/>
              <w:jc w:val="center"/>
              <w:rPr>
                <w:rFonts w:asciiTheme="minorHAnsi" w:hAnsiTheme="minorHAnsi" w:cstheme="minorHAnsi"/>
                <w:b/>
                <w:sz w:val="20"/>
                <w:szCs w:val="20"/>
              </w:rPr>
            </w:pPr>
            <w:r w:rsidRPr="00952DFE">
              <w:rPr>
                <w:rFonts w:asciiTheme="minorHAnsi" w:hAnsiTheme="minorHAnsi" w:cstheme="minorHAnsi"/>
                <w:b/>
                <w:sz w:val="20"/>
                <w:szCs w:val="20"/>
              </w:rPr>
              <w:t>Požadovaná hodnota:</w:t>
            </w:r>
          </w:p>
        </w:tc>
      </w:tr>
      <w:tr w:rsidR="00DA669D" w:rsidRPr="00952DFE" w14:paraId="6FF46863" w14:textId="77777777" w:rsidTr="00DA669D">
        <w:tc>
          <w:tcPr>
            <w:tcW w:w="2793" w:type="dxa"/>
            <w:vMerge/>
            <w:shd w:val="clear" w:color="auto" w:fill="auto"/>
            <w:vAlign w:val="center"/>
          </w:tcPr>
          <w:p w14:paraId="5AB85073" w14:textId="77777777" w:rsidR="00DA669D" w:rsidRPr="00952DFE" w:rsidRDefault="00DA669D" w:rsidP="00E86F07">
            <w:pPr>
              <w:pStyle w:val="Standard"/>
              <w:contextualSpacing/>
              <w:rPr>
                <w:rFonts w:asciiTheme="minorHAnsi" w:hAnsiTheme="minorHAnsi" w:cstheme="minorHAnsi"/>
                <w:sz w:val="20"/>
                <w:szCs w:val="20"/>
              </w:rPr>
            </w:pPr>
          </w:p>
        </w:tc>
        <w:tc>
          <w:tcPr>
            <w:tcW w:w="3298" w:type="dxa"/>
          </w:tcPr>
          <w:p w14:paraId="6BF33D97" w14:textId="77777777" w:rsidR="00DA669D" w:rsidRPr="00013DB0" w:rsidRDefault="00DA669D" w:rsidP="00E86F07">
            <w:pPr>
              <w:pStyle w:val="Standard"/>
              <w:contextualSpacing/>
              <w:rPr>
                <w:rFonts w:asciiTheme="minorHAnsi" w:hAnsiTheme="minorHAnsi"/>
                <w:sz w:val="20"/>
                <w:szCs w:val="20"/>
              </w:rPr>
            </w:pPr>
            <w:r w:rsidRPr="00BD2C73">
              <w:rPr>
                <w:rFonts w:asciiTheme="minorHAnsi" w:hAnsiTheme="minorHAnsi"/>
                <w:sz w:val="20"/>
                <w:szCs w:val="20"/>
              </w:rPr>
              <w:t>SINAMICS CONTROL UNIT CU320-2 PN</w:t>
            </w:r>
          </w:p>
        </w:tc>
        <w:tc>
          <w:tcPr>
            <w:tcW w:w="3260" w:type="dxa"/>
          </w:tcPr>
          <w:p w14:paraId="6D8EC6AF" w14:textId="77777777" w:rsidR="00DA669D" w:rsidRPr="00013DB0" w:rsidRDefault="00DA669D" w:rsidP="00926E63">
            <w:pPr>
              <w:pStyle w:val="Standard"/>
              <w:contextualSpacing/>
              <w:jc w:val="center"/>
              <w:rPr>
                <w:rFonts w:asciiTheme="minorHAnsi" w:hAnsiTheme="minorHAnsi"/>
                <w:sz w:val="20"/>
                <w:szCs w:val="20"/>
              </w:rPr>
            </w:pPr>
            <w:r>
              <w:rPr>
                <w:rFonts w:asciiTheme="minorHAnsi" w:hAnsiTheme="minorHAnsi"/>
                <w:sz w:val="20"/>
                <w:szCs w:val="20"/>
              </w:rPr>
              <w:t>1 ks</w:t>
            </w:r>
          </w:p>
        </w:tc>
      </w:tr>
      <w:tr w:rsidR="00DA669D" w:rsidRPr="00952DFE" w14:paraId="68E86B38" w14:textId="77777777" w:rsidTr="00DA669D">
        <w:tc>
          <w:tcPr>
            <w:tcW w:w="2793" w:type="dxa"/>
            <w:vMerge/>
            <w:shd w:val="clear" w:color="auto" w:fill="auto"/>
            <w:vAlign w:val="center"/>
          </w:tcPr>
          <w:p w14:paraId="0E55806D" w14:textId="77777777" w:rsidR="00DA669D" w:rsidRPr="00952DFE" w:rsidRDefault="00DA669D" w:rsidP="00E86F07">
            <w:pPr>
              <w:pStyle w:val="Standard"/>
              <w:contextualSpacing/>
              <w:rPr>
                <w:rFonts w:asciiTheme="minorHAnsi" w:hAnsiTheme="minorHAnsi" w:cstheme="minorHAnsi"/>
                <w:sz w:val="20"/>
                <w:szCs w:val="20"/>
              </w:rPr>
            </w:pPr>
          </w:p>
        </w:tc>
        <w:tc>
          <w:tcPr>
            <w:tcW w:w="3298" w:type="dxa"/>
          </w:tcPr>
          <w:p w14:paraId="012C7CCA" w14:textId="77777777" w:rsidR="00DA669D" w:rsidRDefault="00DA669D" w:rsidP="00E86F07">
            <w:pPr>
              <w:pStyle w:val="Standard"/>
              <w:contextualSpacing/>
              <w:rPr>
                <w:rFonts w:asciiTheme="minorHAnsi" w:hAnsiTheme="minorHAnsi"/>
                <w:sz w:val="20"/>
                <w:szCs w:val="20"/>
              </w:rPr>
            </w:pPr>
            <w:r>
              <w:rPr>
                <w:rFonts w:asciiTheme="minorHAnsi" w:hAnsiTheme="minorHAnsi"/>
                <w:sz w:val="20"/>
                <w:szCs w:val="20"/>
              </w:rPr>
              <w:t xml:space="preserve">Licence </w:t>
            </w:r>
            <w:proofErr w:type="spellStart"/>
            <w:r w:rsidRPr="00724722">
              <w:rPr>
                <w:rFonts w:asciiTheme="minorHAnsi" w:hAnsiTheme="minorHAnsi"/>
                <w:sz w:val="20"/>
                <w:szCs w:val="20"/>
              </w:rPr>
              <w:t>Safety</w:t>
            </w:r>
            <w:proofErr w:type="spellEnd"/>
            <w:r w:rsidRPr="00724722">
              <w:rPr>
                <w:rFonts w:asciiTheme="minorHAnsi" w:hAnsiTheme="minorHAnsi"/>
                <w:sz w:val="20"/>
                <w:szCs w:val="20"/>
              </w:rPr>
              <w:t xml:space="preserve"> </w:t>
            </w:r>
            <w:proofErr w:type="spellStart"/>
            <w:r w:rsidRPr="00724722">
              <w:rPr>
                <w:rFonts w:asciiTheme="minorHAnsi" w:hAnsiTheme="minorHAnsi"/>
                <w:sz w:val="20"/>
                <w:szCs w:val="20"/>
              </w:rPr>
              <w:t>Advanced</w:t>
            </w:r>
            <w:proofErr w:type="spellEnd"/>
            <w:r w:rsidRPr="00724722">
              <w:rPr>
                <w:rFonts w:asciiTheme="minorHAnsi" w:hAnsiTheme="minorHAnsi"/>
                <w:sz w:val="20"/>
                <w:szCs w:val="20"/>
              </w:rPr>
              <w:t xml:space="preserve"> </w:t>
            </w:r>
            <w:proofErr w:type="spellStart"/>
            <w:r w:rsidRPr="00724722">
              <w:rPr>
                <w:rFonts w:asciiTheme="minorHAnsi" w:hAnsiTheme="minorHAnsi"/>
                <w:sz w:val="20"/>
                <w:szCs w:val="20"/>
              </w:rPr>
              <w:t>Functions</w:t>
            </w:r>
            <w:proofErr w:type="spellEnd"/>
            <w:r>
              <w:rPr>
                <w:rFonts w:asciiTheme="minorHAnsi" w:hAnsiTheme="minorHAnsi"/>
                <w:sz w:val="20"/>
                <w:szCs w:val="20"/>
              </w:rPr>
              <w:t xml:space="preserve"> na </w:t>
            </w:r>
            <w:proofErr w:type="spellStart"/>
            <w:r>
              <w:rPr>
                <w:rFonts w:asciiTheme="minorHAnsi" w:hAnsiTheme="minorHAnsi"/>
                <w:sz w:val="20"/>
                <w:szCs w:val="20"/>
              </w:rPr>
              <w:t>Compact</w:t>
            </w:r>
            <w:proofErr w:type="spellEnd"/>
            <w:r>
              <w:rPr>
                <w:rFonts w:asciiTheme="minorHAnsi" w:hAnsiTheme="minorHAnsi"/>
                <w:sz w:val="20"/>
                <w:szCs w:val="20"/>
              </w:rPr>
              <w:t xml:space="preserve"> </w:t>
            </w:r>
            <w:proofErr w:type="spellStart"/>
            <w:r>
              <w:rPr>
                <w:rFonts w:asciiTheme="minorHAnsi" w:hAnsiTheme="minorHAnsi"/>
                <w:sz w:val="20"/>
                <w:szCs w:val="20"/>
              </w:rPr>
              <w:t>Flash</w:t>
            </w:r>
            <w:proofErr w:type="spellEnd"/>
            <w:r>
              <w:rPr>
                <w:rFonts w:asciiTheme="minorHAnsi" w:hAnsiTheme="minorHAnsi"/>
                <w:sz w:val="20"/>
                <w:szCs w:val="20"/>
              </w:rPr>
              <w:t xml:space="preserve"> určené pro CU320-2</w:t>
            </w:r>
          </w:p>
        </w:tc>
        <w:tc>
          <w:tcPr>
            <w:tcW w:w="3260" w:type="dxa"/>
          </w:tcPr>
          <w:p w14:paraId="22BC04C9" w14:textId="77777777" w:rsidR="00DA669D" w:rsidRDefault="00DA669D" w:rsidP="00926E63">
            <w:pPr>
              <w:pStyle w:val="Standard"/>
              <w:contextualSpacing/>
              <w:jc w:val="center"/>
              <w:rPr>
                <w:rFonts w:asciiTheme="minorHAnsi" w:hAnsiTheme="minorHAnsi"/>
                <w:sz w:val="20"/>
                <w:szCs w:val="20"/>
              </w:rPr>
            </w:pPr>
            <w:r>
              <w:rPr>
                <w:rFonts w:asciiTheme="minorHAnsi" w:hAnsiTheme="minorHAnsi"/>
                <w:sz w:val="20"/>
                <w:szCs w:val="20"/>
              </w:rPr>
              <w:t>2 ks</w:t>
            </w:r>
          </w:p>
        </w:tc>
      </w:tr>
      <w:bookmarkEnd w:id="1"/>
    </w:tbl>
    <w:p w14:paraId="0939500A" w14:textId="77777777" w:rsidR="000549F1" w:rsidRPr="000549F1" w:rsidRDefault="000549F1" w:rsidP="00926E63">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theme="minorHAnsi"/>
          <w:b/>
          <w:color w:val="000000"/>
          <w:sz w:val="24"/>
          <w:szCs w:val="20"/>
          <w:lang w:eastAsia="cs-CZ"/>
        </w:rPr>
      </w:pPr>
    </w:p>
    <w:sectPr w:rsidR="000549F1" w:rsidRPr="000549F1"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0C92" w14:textId="77777777" w:rsidR="00FC79B2" w:rsidRDefault="00FC79B2" w:rsidP="00832D0D">
      <w:pPr>
        <w:spacing w:after="0" w:line="240" w:lineRule="auto"/>
      </w:pPr>
      <w:r>
        <w:separator/>
      </w:r>
    </w:p>
  </w:endnote>
  <w:endnote w:type="continuationSeparator" w:id="0">
    <w:p w14:paraId="77501992" w14:textId="77777777" w:rsidR="00FC79B2" w:rsidRDefault="00FC79B2"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11F26D89" w14:textId="018AB5A6" w:rsidR="00FA2B9E" w:rsidRDefault="00FA2B9E" w:rsidP="007F3CDC">
            <w:pPr>
              <w:pStyle w:val="Zpat"/>
            </w:pPr>
            <w:r>
              <w:rPr>
                <w:noProof/>
                <w:lang w:eastAsia="cs-CZ"/>
              </w:rPr>
              <w:drawing>
                <wp:anchor distT="0" distB="0" distL="114300" distR="114300" simplePos="0" relativeHeight="251656192" behindDoc="0" locked="0" layoutInCell="1" allowOverlap="1" wp14:anchorId="236F71F6" wp14:editId="539C0F2E">
                  <wp:simplePos x="0" y="0"/>
                  <wp:positionH relativeFrom="column">
                    <wp:posOffset>3551555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47B91BE1" wp14:editId="7BC944A9">
                  <wp:simplePos x="0" y="0"/>
                  <wp:positionH relativeFrom="column">
                    <wp:posOffset>5276215</wp:posOffset>
                  </wp:positionH>
                  <wp:positionV relativeFrom="paragraph">
                    <wp:posOffset>13335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0573C170" wp14:editId="4EA1E01A">
                  <wp:simplePos x="0" y="0"/>
                  <wp:positionH relativeFrom="column">
                    <wp:posOffset>1332865</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44D09BB6" wp14:editId="48670CF7">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507047F" w:rsidR="00FA2B9E" w:rsidRDefault="00FA2B9E">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1</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1</w:t>
            </w:r>
            <w:r w:rsidRPr="001E5ED0">
              <w:rPr>
                <w:bCs/>
              </w:rPr>
              <w:fldChar w:fldCharType="end"/>
            </w:r>
          </w:p>
        </w:sdtContent>
      </w:sdt>
    </w:sdtContent>
  </w:sdt>
  <w:p w14:paraId="091D3A8D" w14:textId="77777777" w:rsidR="00FA2B9E" w:rsidRDefault="00FA2B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82633" w14:textId="77777777" w:rsidR="00FC79B2" w:rsidRDefault="00FC79B2" w:rsidP="00832D0D">
      <w:pPr>
        <w:spacing w:after="0" w:line="240" w:lineRule="auto"/>
      </w:pPr>
      <w:r>
        <w:separator/>
      </w:r>
    </w:p>
  </w:footnote>
  <w:footnote w:type="continuationSeparator" w:id="0">
    <w:p w14:paraId="34DD3A24" w14:textId="77777777" w:rsidR="00FC79B2" w:rsidRDefault="00FC79B2"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4D7FC033" w:rsidR="00FA2B9E" w:rsidRDefault="00FA2B9E">
    <w:pPr>
      <w:pStyle w:val="Zhlav"/>
    </w:pPr>
    <w:r w:rsidRPr="002E44F0">
      <w:rPr>
        <w:noProof/>
        <w:lang w:eastAsia="cs-CZ"/>
      </w:rPr>
      <w:drawing>
        <wp:anchor distT="0" distB="0" distL="114300" distR="114300" simplePos="0" relativeHeight="251661312" behindDoc="1" locked="0" layoutInCell="1" allowOverlap="1" wp14:anchorId="7F3D5DAD" wp14:editId="3A6FE151">
          <wp:simplePos x="0" y="0"/>
          <wp:positionH relativeFrom="column">
            <wp:posOffset>3052445</wp:posOffset>
          </wp:positionH>
          <wp:positionV relativeFrom="paragraph">
            <wp:posOffset>-2540</wp:posOffset>
          </wp:positionV>
          <wp:extent cx="2505075" cy="771525"/>
          <wp:effectExtent l="0" t="0" r="0" b="0"/>
          <wp:wrapTight wrapText="bothSides">
            <wp:wrapPolygon edited="0">
              <wp:start x="1478" y="2667"/>
              <wp:lineTo x="1150" y="5333"/>
              <wp:lineTo x="1150" y="14400"/>
              <wp:lineTo x="1314" y="17600"/>
              <wp:lineTo x="1478" y="18667"/>
              <wp:lineTo x="5421" y="18667"/>
              <wp:lineTo x="13633" y="17600"/>
              <wp:lineTo x="20040" y="15467"/>
              <wp:lineTo x="19875" y="12267"/>
              <wp:lineTo x="20861" y="8533"/>
              <wp:lineTo x="19711" y="5867"/>
              <wp:lineTo x="5421" y="2667"/>
              <wp:lineTo x="1478" y="2667"/>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71525"/>
                  </a:xfrm>
                  <a:prstGeom prst="rect">
                    <a:avLst/>
                  </a:prstGeom>
                  <a:noFill/>
                  <a:ln>
                    <a:noFill/>
                  </a:ln>
                </pic:spPr>
              </pic:pic>
            </a:graphicData>
          </a:graphic>
        </wp:anchor>
      </w:drawing>
    </w:r>
    <w:r>
      <w:rPr>
        <w:rFonts w:ascii="Arial" w:eastAsia="Times New Roman" w:hAnsi="Arial" w:cs="Arial"/>
        <w:b/>
        <w:bCs/>
        <w:noProof/>
        <w:sz w:val="24"/>
        <w:szCs w:val="24"/>
        <w:lang w:eastAsia="cs-CZ"/>
      </w:rPr>
      <w:drawing>
        <wp:anchor distT="0" distB="0" distL="114300" distR="114300" simplePos="0" relativeHeight="251660288" behindDoc="1" locked="0" layoutInCell="1" allowOverlap="1" wp14:anchorId="7807B2E2" wp14:editId="41F68D6D">
          <wp:simplePos x="0" y="0"/>
          <wp:positionH relativeFrom="column">
            <wp:posOffset>147320</wp:posOffset>
          </wp:positionH>
          <wp:positionV relativeFrom="paragraph">
            <wp:posOffset>83820</wp:posOffset>
          </wp:positionV>
          <wp:extent cx="1906484" cy="685165"/>
          <wp:effectExtent l="0" t="0" r="0" b="635"/>
          <wp:wrapTight wrapText="bothSides">
            <wp:wrapPolygon edited="0">
              <wp:start x="0" y="0"/>
              <wp:lineTo x="0" y="21019"/>
              <wp:lineTo x="21370" y="21019"/>
              <wp:lineTo x="2137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6484" cy="68516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F0567DF"/>
    <w:multiLevelType w:val="hybridMultilevel"/>
    <w:tmpl w:val="F73ECEC0"/>
    <w:lvl w:ilvl="0" w:tplc="F1EA20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4"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5"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E44B4D"/>
    <w:multiLevelType w:val="hybridMultilevel"/>
    <w:tmpl w:val="031A738A"/>
    <w:lvl w:ilvl="0" w:tplc="DB560660">
      <w:start w:val="1"/>
      <w:numFmt w:val="decimal"/>
      <w:lvlText w:val="%1."/>
      <w:lvlJc w:val="left"/>
      <w:pPr>
        <w:ind w:left="720" w:hanging="360"/>
      </w:pPr>
      <w:rPr>
        <w:rFonts w:hint="default"/>
        <w:b w:val="0"/>
        <w:bCs/>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565A58"/>
    <w:multiLevelType w:val="hybridMultilevel"/>
    <w:tmpl w:val="9788DFD8"/>
    <w:lvl w:ilvl="0" w:tplc="CAC2F7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A8575E"/>
    <w:multiLevelType w:val="hybridMultilevel"/>
    <w:tmpl w:val="D764906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5"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31652AAB"/>
    <w:multiLevelType w:val="hybridMultilevel"/>
    <w:tmpl w:val="05B08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9482C11"/>
    <w:multiLevelType w:val="hybridMultilevel"/>
    <w:tmpl w:val="48D0AEB4"/>
    <w:lvl w:ilvl="0" w:tplc="D5409F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0B7F77"/>
    <w:multiLevelType w:val="hybridMultilevel"/>
    <w:tmpl w:val="4FD86F84"/>
    <w:lvl w:ilvl="0" w:tplc="3AAC3E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1"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2" w15:restartNumberingAfterBreak="0">
    <w:nsid w:val="4353087C"/>
    <w:multiLevelType w:val="hybridMultilevel"/>
    <w:tmpl w:val="C74E7F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F729B9"/>
    <w:multiLevelType w:val="hybridMultilevel"/>
    <w:tmpl w:val="C74E7F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D143C6"/>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F6274D"/>
    <w:multiLevelType w:val="hybridMultilevel"/>
    <w:tmpl w:val="B016C966"/>
    <w:lvl w:ilvl="0" w:tplc="50425C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6634D"/>
    <w:multiLevelType w:val="hybridMultilevel"/>
    <w:tmpl w:val="B016C966"/>
    <w:lvl w:ilvl="0" w:tplc="50425C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BF3219"/>
    <w:multiLevelType w:val="singleLevel"/>
    <w:tmpl w:val="7188CC4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4"/>
      </w:rPr>
    </w:lvl>
  </w:abstractNum>
  <w:abstractNum w:abstractNumId="30"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6742A2"/>
    <w:multiLevelType w:val="hybridMultilevel"/>
    <w:tmpl w:val="7918E834"/>
    <w:lvl w:ilvl="0" w:tplc="BC3AA148">
      <w:start w:val="1"/>
      <w:numFmt w:val="upperRoman"/>
      <w:lvlText w:val="%1."/>
      <w:lvlJc w:val="left"/>
      <w:pPr>
        <w:ind w:left="720" w:hanging="360"/>
      </w:pPr>
      <w:rPr>
        <w:rFonts w:asciiTheme="minorHAnsi" w:eastAsia="Times New Roman" w:hAnsiTheme="minorHAnsi" w:cstheme="minorHAns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3850C0"/>
    <w:multiLevelType w:val="hybridMultilevel"/>
    <w:tmpl w:val="4E9058FE"/>
    <w:lvl w:ilvl="0" w:tplc="2D30DDD8">
      <w:start w:val="1"/>
      <w:numFmt w:val="lowerLetter"/>
      <w:lvlText w:val="%1)"/>
      <w:lvlJc w:val="left"/>
      <w:pPr>
        <w:ind w:left="1494" w:hanging="360"/>
      </w:pPr>
      <w:rPr>
        <w:rFonts w:hint="default"/>
        <w:color w:val="00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5"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7"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7123DD"/>
    <w:multiLevelType w:val="hybridMultilevel"/>
    <w:tmpl w:val="2EFE3EEE"/>
    <w:lvl w:ilvl="0" w:tplc="B900C1BA">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8407CF"/>
    <w:multiLevelType w:val="hybridMultilevel"/>
    <w:tmpl w:val="2CF2B1CC"/>
    <w:lvl w:ilvl="0" w:tplc="0A0A6240">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E804C6"/>
    <w:multiLevelType w:val="hybridMultilevel"/>
    <w:tmpl w:val="9788DFD8"/>
    <w:lvl w:ilvl="0" w:tplc="CAC2F76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0"/>
  </w:num>
  <w:num w:numId="2">
    <w:abstractNumId w:val="20"/>
  </w:num>
  <w:num w:numId="3">
    <w:abstractNumId w:val="21"/>
  </w:num>
  <w:num w:numId="4">
    <w:abstractNumId w:val="3"/>
  </w:num>
  <w:num w:numId="5">
    <w:abstractNumId w:val="3"/>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2"/>
  </w:num>
  <w:num w:numId="7">
    <w:abstractNumId w:val="17"/>
  </w:num>
  <w:num w:numId="8">
    <w:abstractNumId w:val="0"/>
  </w:num>
  <w:num w:numId="9">
    <w:abstractNumId w:val="9"/>
  </w:num>
  <w:num w:numId="10">
    <w:abstractNumId w:val="14"/>
  </w:num>
  <w:num w:numId="11">
    <w:abstractNumId w:val="35"/>
  </w:num>
  <w:num w:numId="12">
    <w:abstractNumId w:val="36"/>
  </w:num>
  <w:num w:numId="13">
    <w:abstractNumId w:val="30"/>
  </w:num>
  <w:num w:numId="14">
    <w:abstractNumId w:val="29"/>
  </w:num>
  <w:num w:numId="15">
    <w:abstractNumId w:val="4"/>
  </w:num>
  <w:num w:numId="16">
    <w:abstractNumId w:val="1"/>
  </w:num>
  <w:num w:numId="17">
    <w:abstractNumId w:val="18"/>
  </w:num>
  <w:num w:numId="18">
    <w:abstractNumId w:val="12"/>
  </w:num>
  <w:num w:numId="19">
    <w:abstractNumId w:val="38"/>
  </w:num>
  <w:num w:numId="20">
    <w:abstractNumId w:val="43"/>
  </w:num>
  <w:num w:numId="21">
    <w:abstractNumId w:val="11"/>
  </w:num>
  <w:num w:numId="22">
    <w:abstractNumId w:val="33"/>
  </w:num>
  <w:num w:numId="23">
    <w:abstractNumId w:val="5"/>
  </w:num>
  <w:num w:numId="24">
    <w:abstractNumId w:val="6"/>
  </w:num>
  <w:num w:numId="25">
    <w:abstractNumId w:val="24"/>
  </w:num>
  <w:num w:numId="26">
    <w:abstractNumId w:val="13"/>
  </w:num>
  <w:num w:numId="27">
    <w:abstractNumId w:val="25"/>
  </w:num>
  <w:num w:numId="28">
    <w:abstractNumId w:val="37"/>
  </w:num>
  <w:num w:numId="29">
    <w:abstractNumId w:val="41"/>
  </w:num>
  <w:num w:numId="30">
    <w:abstractNumId w:val="42"/>
  </w:num>
  <w:num w:numId="31">
    <w:abstractNumId w:val="39"/>
  </w:num>
  <w:num w:numId="32">
    <w:abstractNumId w:val="10"/>
  </w:num>
  <w:num w:numId="33">
    <w:abstractNumId w:val="31"/>
  </w:num>
  <w:num w:numId="34">
    <w:abstractNumId w:val="34"/>
  </w:num>
  <w:num w:numId="35">
    <w:abstractNumId w:val="26"/>
  </w:num>
  <w:num w:numId="36">
    <w:abstractNumId w:val="19"/>
  </w:num>
  <w:num w:numId="37">
    <w:abstractNumId w:val="8"/>
  </w:num>
  <w:num w:numId="38">
    <w:abstractNumId w:val="15"/>
  </w:num>
  <w:num w:numId="39">
    <w:abstractNumId w:val="45"/>
  </w:num>
  <w:num w:numId="40">
    <w:abstractNumId w:val="7"/>
  </w:num>
  <w:num w:numId="41">
    <w:abstractNumId w:val="16"/>
  </w:num>
  <w:num w:numId="42">
    <w:abstractNumId w:val="27"/>
  </w:num>
  <w:num w:numId="43">
    <w:abstractNumId w:val="28"/>
  </w:num>
  <w:num w:numId="44">
    <w:abstractNumId w:val="44"/>
  </w:num>
  <w:num w:numId="45">
    <w:abstractNumId w:val="22"/>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03"/>
    <w:rsid w:val="000144C2"/>
    <w:rsid w:val="0001617C"/>
    <w:rsid w:val="00021F79"/>
    <w:rsid w:val="00025D2B"/>
    <w:rsid w:val="00032390"/>
    <w:rsid w:val="00042403"/>
    <w:rsid w:val="00045995"/>
    <w:rsid w:val="00051CE9"/>
    <w:rsid w:val="000549F1"/>
    <w:rsid w:val="00067EF1"/>
    <w:rsid w:val="0007364F"/>
    <w:rsid w:val="00091855"/>
    <w:rsid w:val="00092CA5"/>
    <w:rsid w:val="000C2868"/>
    <w:rsid w:val="000F4947"/>
    <w:rsid w:val="000F5B2D"/>
    <w:rsid w:val="001274BA"/>
    <w:rsid w:val="0013744B"/>
    <w:rsid w:val="00140FA3"/>
    <w:rsid w:val="00144E7E"/>
    <w:rsid w:val="00152961"/>
    <w:rsid w:val="00152CF2"/>
    <w:rsid w:val="0015528C"/>
    <w:rsid w:val="00180894"/>
    <w:rsid w:val="00184910"/>
    <w:rsid w:val="001858AB"/>
    <w:rsid w:val="00190951"/>
    <w:rsid w:val="00190EF4"/>
    <w:rsid w:val="0019419A"/>
    <w:rsid w:val="001B0954"/>
    <w:rsid w:val="001C082C"/>
    <w:rsid w:val="001C4CFA"/>
    <w:rsid w:val="001E5ED0"/>
    <w:rsid w:val="001F2DB7"/>
    <w:rsid w:val="0020721D"/>
    <w:rsid w:val="00235BAD"/>
    <w:rsid w:val="00240467"/>
    <w:rsid w:val="002460A7"/>
    <w:rsid w:val="002523A9"/>
    <w:rsid w:val="00263D58"/>
    <w:rsid w:val="00265CFC"/>
    <w:rsid w:val="0027003B"/>
    <w:rsid w:val="00270203"/>
    <w:rsid w:val="00271270"/>
    <w:rsid w:val="0027325C"/>
    <w:rsid w:val="00273D7A"/>
    <w:rsid w:val="0028085D"/>
    <w:rsid w:val="002815CC"/>
    <w:rsid w:val="0028563F"/>
    <w:rsid w:val="0029375C"/>
    <w:rsid w:val="0029578C"/>
    <w:rsid w:val="002A21F9"/>
    <w:rsid w:val="002A3EBB"/>
    <w:rsid w:val="002B0DC6"/>
    <w:rsid w:val="002D2C1A"/>
    <w:rsid w:val="002D6BBD"/>
    <w:rsid w:val="002E44F0"/>
    <w:rsid w:val="002E7B3D"/>
    <w:rsid w:val="0032402E"/>
    <w:rsid w:val="0033463E"/>
    <w:rsid w:val="00335710"/>
    <w:rsid w:val="00342280"/>
    <w:rsid w:val="003448AC"/>
    <w:rsid w:val="003510A9"/>
    <w:rsid w:val="00352F7D"/>
    <w:rsid w:val="00357D94"/>
    <w:rsid w:val="00360660"/>
    <w:rsid w:val="00361E2A"/>
    <w:rsid w:val="00362E41"/>
    <w:rsid w:val="003660A4"/>
    <w:rsid w:val="00390DF9"/>
    <w:rsid w:val="00397D7E"/>
    <w:rsid w:val="003A50B5"/>
    <w:rsid w:val="003A6B95"/>
    <w:rsid w:val="003B20F7"/>
    <w:rsid w:val="003C4D36"/>
    <w:rsid w:val="003D0243"/>
    <w:rsid w:val="003D091F"/>
    <w:rsid w:val="003D62D4"/>
    <w:rsid w:val="003F297F"/>
    <w:rsid w:val="003F781B"/>
    <w:rsid w:val="00406509"/>
    <w:rsid w:val="0040681A"/>
    <w:rsid w:val="00406C96"/>
    <w:rsid w:val="00411642"/>
    <w:rsid w:val="0043744F"/>
    <w:rsid w:val="00441C6E"/>
    <w:rsid w:val="0044521B"/>
    <w:rsid w:val="00452A0F"/>
    <w:rsid w:val="00471B39"/>
    <w:rsid w:val="004824D1"/>
    <w:rsid w:val="00484546"/>
    <w:rsid w:val="00484F6E"/>
    <w:rsid w:val="00491896"/>
    <w:rsid w:val="004946B0"/>
    <w:rsid w:val="00496855"/>
    <w:rsid w:val="004C0F91"/>
    <w:rsid w:val="004C450B"/>
    <w:rsid w:val="004D20CF"/>
    <w:rsid w:val="004D3017"/>
    <w:rsid w:val="004D41EF"/>
    <w:rsid w:val="004F24AC"/>
    <w:rsid w:val="00502350"/>
    <w:rsid w:val="00510818"/>
    <w:rsid w:val="00516F84"/>
    <w:rsid w:val="00521615"/>
    <w:rsid w:val="00561633"/>
    <w:rsid w:val="00563481"/>
    <w:rsid w:val="00575244"/>
    <w:rsid w:val="00577FE5"/>
    <w:rsid w:val="0059212D"/>
    <w:rsid w:val="0059502B"/>
    <w:rsid w:val="005A7056"/>
    <w:rsid w:val="005B18E0"/>
    <w:rsid w:val="005B755F"/>
    <w:rsid w:val="005C40D7"/>
    <w:rsid w:val="005F1D61"/>
    <w:rsid w:val="005F797E"/>
    <w:rsid w:val="00602D55"/>
    <w:rsid w:val="00620758"/>
    <w:rsid w:val="00637433"/>
    <w:rsid w:val="00640CD6"/>
    <w:rsid w:val="00646DE9"/>
    <w:rsid w:val="00663919"/>
    <w:rsid w:val="006A05AC"/>
    <w:rsid w:val="006B21C2"/>
    <w:rsid w:val="006B7AA3"/>
    <w:rsid w:val="006C45F9"/>
    <w:rsid w:val="006C636C"/>
    <w:rsid w:val="006D6F49"/>
    <w:rsid w:val="006E469B"/>
    <w:rsid w:val="006E7526"/>
    <w:rsid w:val="006F3AC3"/>
    <w:rsid w:val="00700653"/>
    <w:rsid w:val="00703ABC"/>
    <w:rsid w:val="00706E29"/>
    <w:rsid w:val="0071714B"/>
    <w:rsid w:val="007300D8"/>
    <w:rsid w:val="00737525"/>
    <w:rsid w:val="00752DE9"/>
    <w:rsid w:val="00760CD3"/>
    <w:rsid w:val="00795348"/>
    <w:rsid w:val="007E3EA1"/>
    <w:rsid w:val="007F28E3"/>
    <w:rsid w:val="007F3CDC"/>
    <w:rsid w:val="007F47C8"/>
    <w:rsid w:val="007F649F"/>
    <w:rsid w:val="00803239"/>
    <w:rsid w:val="00806973"/>
    <w:rsid w:val="00811CB6"/>
    <w:rsid w:val="008140D3"/>
    <w:rsid w:val="008144F3"/>
    <w:rsid w:val="00824617"/>
    <w:rsid w:val="0083129B"/>
    <w:rsid w:val="00832D0D"/>
    <w:rsid w:val="00836D47"/>
    <w:rsid w:val="008503D8"/>
    <w:rsid w:val="00852735"/>
    <w:rsid w:val="00857285"/>
    <w:rsid w:val="00864E2C"/>
    <w:rsid w:val="00872E65"/>
    <w:rsid w:val="00886D33"/>
    <w:rsid w:val="008B314C"/>
    <w:rsid w:val="008B60FE"/>
    <w:rsid w:val="008B7D92"/>
    <w:rsid w:val="008C306E"/>
    <w:rsid w:val="008D45A6"/>
    <w:rsid w:val="008E7512"/>
    <w:rsid w:val="00901716"/>
    <w:rsid w:val="00903BDF"/>
    <w:rsid w:val="00903C56"/>
    <w:rsid w:val="00926730"/>
    <w:rsid w:val="00926E63"/>
    <w:rsid w:val="00931564"/>
    <w:rsid w:val="00932604"/>
    <w:rsid w:val="00933FB1"/>
    <w:rsid w:val="00955F6A"/>
    <w:rsid w:val="00962059"/>
    <w:rsid w:val="00970FDF"/>
    <w:rsid w:val="00973BD6"/>
    <w:rsid w:val="00976026"/>
    <w:rsid w:val="0098376B"/>
    <w:rsid w:val="00985063"/>
    <w:rsid w:val="009879E2"/>
    <w:rsid w:val="00993707"/>
    <w:rsid w:val="009A0705"/>
    <w:rsid w:val="009A27F1"/>
    <w:rsid w:val="009A280F"/>
    <w:rsid w:val="009B1007"/>
    <w:rsid w:val="009E5216"/>
    <w:rsid w:val="009F0997"/>
    <w:rsid w:val="009F6EC9"/>
    <w:rsid w:val="00A25429"/>
    <w:rsid w:val="00A33F54"/>
    <w:rsid w:val="00A54DC9"/>
    <w:rsid w:val="00A616BF"/>
    <w:rsid w:val="00A62CEF"/>
    <w:rsid w:val="00A8335F"/>
    <w:rsid w:val="00A84E7A"/>
    <w:rsid w:val="00A96EC1"/>
    <w:rsid w:val="00AA6528"/>
    <w:rsid w:val="00AA7094"/>
    <w:rsid w:val="00AB2C7C"/>
    <w:rsid w:val="00AD334A"/>
    <w:rsid w:val="00AE0141"/>
    <w:rsid w:val="00AE5383"/>
    <w:rsid w:val="00B011D1"/>
    <w:rsid w:val="00B213EB"/>
    <w:rsid w:val="00B21FBC"/>
    <w:rsid w:val="00B43A85"/>
    <w:rsid w:val="00B44A61"/>
    <w:rsid w:val="00B6178C"/>
    <w:rsid w:val="00B62FBC"/>
    <w:rsid w:val="00B70557"/>
    <w:rsid w:val="00B80F63"/>
    <w:rsid w:val="00B82649"/>
    <w:rsid w:val="00BA1236"/>
    <w:rsid w:val="00BA1E96"/>
    <w:rsid w:val="00BA4457"/>
    <w:rsid w:val="00BC0679"/>
    <w:rsid w:val="00BC4187"/>
    <w:rsid w:val="00BC6128"/>
    <w:rsid w:val="00BD7AA0"/>
    <w:rsid w:val="00BE6B2D"/>
    <w:rsid w:val="00BE7AE5"/>
    <w:rsid w:val="00BF2E8A"/>
    <w:rsid w:val="00BF32F3"/>
    <w:rsid w:val="00C021B6"/>
    <w:rsid w:val="00C04055"/>
    <w:rsid w:val="00C1076F"/>
    <w:rsid w:val="00C16357"/>
    <w:rsid w:val="00C17037"/>
    <w:rsid w:val="00C25F5E"/>
    <w:rsid w:val="00C262E7"/>
    <w:rsid w:val="00C43CD6"/>
    <w:rsid w:val="00C46164"/>
    <w:rsid w:val="00C46C71"/>
    <w:rsid w:val="00C628CA"/>
    <w:rsid w:val="00C7139E"/>
    <w:rsid w:val="00C77EC8"/>
    <w:rsid w:val="00C93903"/>
    <w:rsid w:val="00CA4D0E"/>
    <w:rsid w:val="00CA767D"/>
    <w:rsid w:val="00CB1FE3"/>
    <w:rsid w:val="00CB2082"/>
    <w:rsid w:val="00CB2357"/>
    <w:rsid w:val="00CC30AD"/>
    <w:rsid w:val="00CC4CB3"/>
    <w:rsid w:val="00CD77B5"/>
    <w:rsid w:val="00CE1D19"/>
    <w:rsid w:val="00CE4929"/>
    <w:rsid w:val="00D02597"/>
    <w:rsid w:val="00D02DB5"/>
    <w:rsid w:val="00D033C4"/>
    <w:rsid w:val="00D21E27"/>
    <w:rsid w:val="00D35414"/>
    <w:rsid w:val="00D45BF8"/>
    <w:rsid w:val="00D47F3C"/>
    <w:rsid w:val="00D50899"/>
    <w:rsid w:val="00D574F6"/>
    <w:rsid w:val="00D60E45"/>
    <w:rsid w:val="00D620CE"/>
    <w:rsid w:val="00D64B5D"/>
    <w:rsid w:val="00D67D86"/>
    <w:rsid w:val="00D72159"/>
    <w:rsid w:val="00D820AF"/>
    <w:rsid w:val="00D86E38"/>
    <w:rsid w:val="00DA371C"/>
    <w:rsid w:val="00DA669D"/>
    <w:rsid w:val="00DD26E7"/>
    <w:rsid w:val="00DD7175"/>
    <w:rsid w:val="00DF5E2C"/>
    <w:rsid w:val="00DF6642"/>
    <w:rsid w:val="00DF7D77"/>
    <w:rsid w:val="00E11B4D"/>
    <w:rsid w:val="00E21644"/>
    <w:rsid w:val="00E24327"/>
    <w:rsid w:val="00E4278D"/>
    <w:rsid w:val="00E5223D"/>
    <w:rsid w:val="00E5638A"/>
    <w:rsid w:val="00E66A19"/>
    <w:rsid w:val="00E94DFF"/>
    <w:rsid w:val="00EA10AA"/>
    <w:rsid w:val="00EA1A93"/>
    <w:rsid w:val="00EA4926"/>
    <w:rsid w:val="00EB62CF"/>
    <w:rsid w:val="00EC0401"/>
    <w:rsid w:val="00EC6F47"/>
    <w:rsid w:val="00EE5802"/>
    <w:rsid w:val="00EE7362"/>
    <w:rsid w:val="00EF44BF"/>
    <w:rsid w:val="00F12BF0"/>
    <w:rsid w:val="00F25C24"/>
    <w:rsid w:val="00F3685E"/>
    <w:rsid w:val="00F41552"/>
    <w:rsid w:val="00F41700"/>
    <w:rsid w:val="00F42953"/>
    <w:rsid w:val="00F46C2B"/>
    <w:rsid w:val="00F51468"/>
    <w:rsid w:val="00F565E2"/>
    <w:rsid w:val="00F672B1"/>
    <w:rsid w:val="00F67970"/>
    <w:rsid w:val="00F67CE5"/>
    <w:rsid w:val="00F72221"/>
    <w:rsid w:val="00F727D0"/>
    <w:rsid w:val="00F81C16"/>
    <w:rsid w:val="00F96270"/>
    <w:rsid w:val="00FA163C"/>
    <w:rsid w:val="00FA2B9E"/>
    <w:rsid w:val="00FA7834"/>
    <w:rsid w:val="00FC1727"/>
    <w:rsid w:val="00FC4F3B"/>
    <w:rsid w:val="00FC79B2"/>
    <w:rsid w:val="00FD0A8B"/>
    <w:rsid w:val="00FE0082"/>
    <w:rsid w:val="00FE0F12"/>
    <w:rsid w:val="00FF4A0C"/>
    <w:rsid w:val="00FF5C02"/>
    <w:rsid w:val="00FF6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F649F"/>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paragraph" w:styleId="Bezmezer">
    <w:name w:val="No Spacing"/>
    <w:rsid w:val="00926E63"/>
    <w:pPr>
      <w:suppressAutoHyphens/>
      <w:spacing w:after="200" w:line="276" w:lineRule="auto"/>
    </w:pPr>
    <w:rPr>
      <w:rFonts w:ascii="Calibri" w:eastAsia="Times New Roma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98614">
      <w:bodyDiv w:val="1"/>
      <w:marLeft w:val="0"/>
      <w:marRight w:val="0"/>
      <w:marTop w:val="0"/>
      <w:marBottom w:val="0"/>
      <w:divBdr>
        <w:top w:val="none" w:sz="0" w:space="0" w:color="auto"/>
        <w:left w:val="none" w:sz="0" w:space="0" w:color="auto"/>
        <w:bottom w:val="none" w:sz="0" w:space="0" w:color="auto"/>
        <w:right w:val="none" w:sz="0" w:space="0" w:color="auto"/>
      </w:divBdr>
    </w:div>
    <w:div w:id="14479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D63C-7BBB-44D1-B8D2-46E80F06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4050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2021-01-12T11:55:00Z</dcterms:created>
  <dcterms:modified xsi:type="dcterms:W3CDTF">2023-04-13T09:29:00Z</dcterms:modified>
</cp:coreProperties>
</file>