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36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technického dozoru stavebníka</w:t>
      </w:r>
      <w:bookmarkEnd w:id="0"/>
      <w:bookmarkEnd w:id="1"/>
    </w:p>
    <w:p>
      <w:pPr>
        <w:pStyle w:val="Style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na staveništi (dopravní stavby)</w:t>
      </w:r>
      <w:bookmarkEnd w:id="2"/>
      <w:bookmarkEnd w:id="3"/>
    </w:p>
    <w:p>
      <w:pPr>
        <w:pStyle w:val="Style18"/>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na akci:</w:t>
      </w:r>
    </w:p>
    <w:p>
      <w:pPr>
        <w:pStyle w:val="Style9"/>
        <w:keepNext/>
        <w:keepLines/>
        <w:widowControl w:val="0"/>
        <w:shd w:val="clear" w:color="auto" w:fill="auto"/>
        <w:bidi w:val="0"/>
        <w:spacing w:before="0" w:after="12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„III/35725 České Milovy - most ev. č. 35725-4“</w:t>
      </w:r>
      <w:bookmarkEnd w:id="4"/>
      <w:bookmarkEnd w:id="5"/>
    </w:p>
    <w:p>
      <w:pPr>
        <w:pStyle w:val="Style2"/>
        <w:keepNext w:val="0"/>
        <w:keepLines w:val="0"/>
        <w:widowControl w:val="0"/>
        <w:shd w:val="clear" w:color="auto" w:fill="auto"/>
        <w:bidi w:val="0"/>
        <w:spacing w:before="0" w:after="340" w:line="240" w:lineRule="auto"/>
        <w:ind w:left="0" w:right="0" w:firstLine="860"/>
        <w:jc w:val="left"/>
      </w:pPr>
      <w:r>
        <w:rPr>
          <w:color w:val="000000"/>
          <w:spacing w:val="0"/>
          <w:w w:val="100"/>
          <w:position w:val="0"/>
          <w:shd w:val="clear" w:color="auto" w:fill="auto"/>
          <w:lang w:val="cs-CZ" w:eastAsia="cs-CZ" w:bidi="cs-CZ"/>
        </w:rPr>
        <w:t>uzavřená podle § 1746 odst. 2 zákona č. 89/2012 Sb., občanský zákoník, v platném znění</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440" w:line="240" w:lineRule="auto"/>
        <w:ind w:left="0" w:right="0" w:firstLine="0"/>
        <w:jc w:val="left"/>
      </w:pPr>
      <w:r>
        <w:rPr>
          <w:i/>
          <w:iCs/>
          <w:color w:val="000000"/>
          <w:spacing w:val="0"/>
          <w:w w:val="100"/>
          <w:position w:val="0"/>
          <w:shd w:val="clear" w:color="auto" w:fill="auto"/>
          <w:lang w:val="cs-CZ" w:eastAsia="cs-CZ" w:bidi="cs-CZ"/>
        </w:rPr>
        <w:t>Číslo smlouvy dodavatele:</w:t>
      </w:r>
    </w:p>
    <w:p>
      <w:pPr>
        <w:pStyle w:val="Style21"/>
        <w:keepNext w:val="0"/>
        <w:keepLines w:val="0"/>
        <w:widowControl w:val="0"/>
        <w:shd w:val="clear" w:color="auto" w:fill="auto"/>
        <w:bidi w:val="0"/>
        <w:spacing w:before="0" w:after="0" w:line="240" w:lineRule="auto"/>
        <w:ind w:left="444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886"/>
        <w:gridCol w:w="6466"/>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2"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1886"/>
        <w:gridCol w:w="6461"/>
      </w:tblGrid>
      <w:tr>
        <w:trPr>
          <w:trHeight w:val="264"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274"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322"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CZ00090450</w:t>
            </w:r>
          </w:p>
        </w:tc>
      </w:tr>
    </w:tbl>
    <w:p>
      <w:pPr>
        <w:widowControl w:val="0"/>
        <w:spacing w:line="1" w:lineRule="exact"/>
      </w:pPr>
    </w:p>
    <w:p>
      <w:pPr>
        <w:pStyle w:val="Style2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Telefon:</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left"/>
        <w:tblLayout w:type="fixed"/>
      </w:tblPr>
      <w:tblGrid>
        <w:gridCol w:w="1886"/>
        <w:gridCol w:w="6461"/>
      </w:tblGrid>
      <w:tr>
        <w:trPr>
          <w:trHeight w:val="312"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Kraj Vysočina</w:t>
            </w:r>
          </w:p>
        </w:tc>
      </w:tr>
    </w:tbl>
    <w:p>
      <w:pPr>
        <w:pStyle w:val="Style21"/>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59" w:line="1" w:lineRule="exact"/>
      </w:pPr>
    </w:p>
    <w:p>
      <w:pPr>
        <w:widowControl w:val="0"/>
        <w:spacing w:line="1" w:lineRule="exact"/>
      </w:pPr>
    </w:p>
    <w:tbl>
      <w:tblPr>
        <w:tblOverlap w:val="never"/>
        <w:jc w:val="left"/>
        <w:tblLayout w:type="fixed"/>
      </w:tblPr>
      <w:tblGrid>
        <w:gridCol w:w="1886"/>
        <w:gridCol w:w="6461"/>
      </w:tblGrid>
      <w:tr>
        <w:trPr>
          <w:trHeight w:val="245"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IMDS s.r.o.</w:t>
            </w:r>
          </w:p>
        </w:tc>
      </w:tr>
      <w:tr>
        <w:trPr>
          <w:trHeight w:val="298"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Jiráskova 370, 533 72 Moravany</w:t>
            </w:r>
          </w:p>
        </w:tc>
      </w:tr>
      <w:tr>
        <w:trPr>
          <w:trHeight w:val="278"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Albert Jurkovič, jednatel</w:t>
            </w:r>
          </w:p>
        </w:tc>
      </w:tr>
    </w:tbl>
    <w:p>
      <w:pPr>
        <w:pStyle w:val="Style21"/>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zapsán v obchodním rejstříku C 34044 vedená u Krajského soudu v Hradci Králové Osoba pověřená jednat jménem dodavatele ve věcech</w:t>
      </w:r>
    </w:p>
    <w:p>
      <w:pPr>
        <w:widowControl w:val="0"/>
        <w:spacing w:line="1" w:lineRule="exact"/>
      </w:pPr>
    </w:p>
    <w:tbl>
      <w:tblPr>
        <w:tblOverlap w:val="never"/>
        <w:jc w:val="left"/>
        <w:tblLayout w:type="fixed"/>
      </w:tblPr>
      <w:tblGrid>
        <w:gridCol w:w="1886"/>
        <w:gridCol w:w="6461"/>
      </w:tblGrid>
      <w:tr>
        <w:trPr>
          <w:trHeight w:val="264"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4"/>
              <w:keepNext w:val="0"/>
              <w:keepLines w:val="0"/>
              <w:widowControl w:val="0"/>
              <w:shd w:val="clear" w:color="auto" w:fill="auto"/>
              <w:tabs>
                <w:tab w:pos="4753" w:val="left"/>
              </w:tabs>
              <w:bidi w:val="0"/>
              <w:spacing w:before="0" w:after="0" w:line="240" w:lineRule="auto"/>
              <w:ind w:left="1940" w:right="0" w:firstLine="0"/>
              <w:jc w:val="left"/>
            </w:pPr>
            <w:r>
              <w:rPr>
                <w:color w:val="000000"/>
                <w:spacing w:val="0"/>
                <w:w w:val="100"/>
                <w:position w:val="0"/>
                <w:shd w:val="clear" w:color="auto" w:fill="auto"/>
                <w:lang w:val="cs-CZ" w:eastAsia="cs-CZ" w:bidi="cs-CZ"/>
              </w:rPr>
              <w:t>, jednatel;</w:t>
              <w:tab/>
              <w:t>jednatel</w:t>
            </w:r>
          </w:p>
        </w:tc>
      </w:tr>
      <w:tr>
        <w:trPr>
          <w:trHeight w:val="278"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034 02 606</w:t>
            </w:r>
          </w:p>
        </w:tc>
      </w:tr>
      <w:tr>
        <w:trPr>
          <w:trHeight w:val="322"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CZ03402606</w:t>
            </w:r>
          </w:p>
        </w:tc>
      </w:tr>
    </w:tbl>
    <w:p>
      <w:pPr>
        <w:pStyle w:val="Style21"/>
        <w:keepNext w:val="0"/>
        <w:keepLines w:val="0"/>
        <w:widowControl w:val="0"/>
        <w:shd w:val="clear" w:color="auto" w:fill="auto"/>
        <w:bidi w:val="0"/>
        <w:spacing w:before="0" w:after="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w:t>
      </w:r>
      <w:r>
        <w:rPr>
          <w:color w:val="000000"/>
          <w:spacing w:val="0"/>
          <w:w w:val="100"/>
          <w:position w:val="0"/>
          <w:shd w:val="clear" w:color="auto" w:fill="auto"/>
          <w:lang w:val="cs-CZ" w:eastAsia="cs-CZ" w:bidi="cs-CZ"/>
        </w:rPr>
        <w:t>sjednané odměny za jejich provedení a obě strany se zavazují plnit podmínky obsažené v následujících ustanoveních této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30"/>
        <w:keepNext w:val="0"/>
        <w:keepLines w:val="0"/>
        <w:widowControl w:val="0"/>
        <w:numPr>
          <w:ilvl w:val="0"/>
          <w:numId w:val="1"/>
        </w:numPr>
        <w:shd w:val="clear" w:color="auto" w:fill="auto"/>
        <w:tabs>
          <w:tab w:pos="710" w:val="left"/>
        </w:tabs>
        <w:bidi w:val="0"/>
        <w:spacing w:before="0"/>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 xml:space="preserve">TDS se zavazuje pro objednatele vykonávat </w:t>
      </w:r>
      <w:r>
        <w:rPr>
          <w:color w:val="000000"/>
          <w:spacing w:val="0"/>
          <w:w w:val="100"/>
          <w:position w:val="0"/>
          <w:sz w:val="24"/>
          <w:szCs w:val="24"/>
          <w:shd w:val="clear" w:color="auto" w:fill="auto"/>
          <w:lang w:val="cs-CZ" w:eastAsia="cs-CZ" w:bidi="cs-CZ"/>
        </w:rPr>
        <w:t xml:space="preserve">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w:t>
      </w:r>
      <w:r>
        <w:rPr>
          <w:rFonts w:ascii="Arial" w:eastAsia="Arial" w:hAnsi="Arial" w:cs="Arial"/>
          <w:color w:val="000000"/>
          <w:spacing w:val="0"/>
          <w:w w:val="100"/>
          <w:position w:val="0"/>
          <w:sz w:val="20"/>
          <w:szCs w:val="20"/>
          <w:shd w:val="clear" w:color="auto" w:fill="auto"/>
          <w:lang w:val="cs-CZ" w:eastAsia="cs-CZ" w:bidi="cs-CZ"/>
        </w:rPr>
        <w:t xml:space="preserve">na akci: </w:t>
      </w:r>
      <w:r>
        <w:rPr>
          <w:rFonts w:ascii="Arial" w:eastAsia="Arial" w:hAnsi="Arial" w:cs="Arial"/>
          <w:b/>
          <w:bCs/>
          <w:color w:val="000000"/>
          <w:spacing w:val="0"/>
          <w:w w:val="100"/>
          <w:position w:val="0"/>
          <w:sz w:val="20"/>
          <w:szCs w:val="20"/>
          <w:shd w:val="clear" w:color="auto" w:fill="auto"/>
          <w:lang w:val="cs-CZ" w:eastAsia="cs-CZ" w:bidi="cs-CZ"/>
        </w:rPr>
        <w:t>„III/35725 České Milovy - most ev. č. 35725-4“,</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to vše v souladu s nabídkou dodavatele podanou v rámci výběrového řízení ze dne </w:t>
      </w:r>
      <w:r>
        <w:rPr>
          <w:b/>
          <w:bCs/>
          <w:color w:val="000000"/>
          <w:spacing w:val="0"/>
          <w:w w:val="100"/>
          <w:position w:val="0"/>
          <w:shd w:val="clear" w:color="auto" w:fill="auto"/>
          <w:lang w:val="cs-CZ" w:eastAsia="cs-CZ" w:bidi="cs-CZ"/>
        </w:rPr>
        <w:t xml:space="preserve">23.03.2023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2"/>
        <w:keepNext w:val="0"/>
        <w:keepLines w:val="0"/>
        <w:widowControl w:val="0"/>
        <w:numPr>
          <w:ilvl w:val="0"/>
          <w:numId w:val="1"/>
        </w:numPr>
        <w:shd w:val="clear" w:color="auto" w:fill="auto"/>
        <w:tabs>
          <w:tab w:pos="710" w:val="left"/>
        </w:tabs>
        <w:bidi w:val="0"/>
        <w:spacing w:before="0" w:after="440" w:line="240"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
        <w:keepNext w:val="0"/>
        <w:keepLines w:val="0"/>
        <w:widowControl w:val="0"/>
        <w:numPr>
          <w:ilvl w:val="1"/>
          <w:numId w:val="1"/>
        </w:numPr>
        <w:shd w:val="clear" w:color="auto" w:fill="auto"/>
        <w:tabs>
          <w:tab w:pos="710" w:val="left"/>
        </w:tabs>
        <w:bidi w:val="0"/>
        <w:spacing w:before="0" w:line="240" w:lineRule="auto"/>
        <w:ind w:left="0" w:right="0" w:firstLine="0"/>
        <w:jc w:val="left"/>
      </w:pPr>
      <w:r>
        <w:rPr>
          <w:b/>
          <w:bCs/>
          <w:color w:val="000000"/>
          <w:spacing w:val="0"/>
          <w:w w:val="100"/>
          <w:position w:val="0"/>
          <w:shd w:val="clear" w:color="auto" w:fill="auto"/>
          <w:lang w:val="cs-CZ" w:eastAsia="cs-CZ" w:bidi="cs-CZ"/>
        </w:rPr>
        <w:t>Přípravné činnosti před zahájením stavby spočívající zejména v činnostech:</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prohlídka staveniště před zahájením vlastních stavebních prací</w:t>
      </w:r>
    </w:p>
    <w:p>
      <w:pPr>
        <w:pStyle w:val="Style2"/>
        <w:keepNext w:val="0"/>
        <w:keepLines w:val="0"/>
        <w:widowControl w:val="0"/>
        <w:shd w:val="clear" w:color="auto" w:fill="auto"/>
        <w:bidi w:val="0"/>
        <w:spacing w:before="0" w:after="240" w:line="240" w:lineRule="auto"/>
        <w:ind w:left="1140" w:right="0" w:firstLine="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
        <w:keepNext w:val="0"/>
        <w:keepLines w:val="0"/>
        <w:widowControl w:val="0"/>
        <w:shd w:val="clear" w:color="auto" w:fill="auto"/>
        <w:bidi w:val="0"/>
        <w:spacing w:before="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734060</wp:posOffset>
                </wp:positionH>
                <wp:positionV relativeFrom="paragraph">
                  <wp:posOffset>12700</wp:posOffset>
                </wp:positionV>
                <wp:extent cx="255905" cy="170815"/>
                <wp:wrapSquare wrapText="right"/>
                <wp:docPr id="1" name="Shape 1"/>
                <a:graphic xmlns:a="http://schemas.openxmlformats.org/drawingml/2006/main">
                  <a:graphicData uri="http://schemas.microsoft.com/office/word/2010/wordprocessingShape">
                    <wps:wsp>
                      <wps:cNvSpPr txBox="1"/>
                      <wps:spPr>
                        <a:xfrm>
                          <a:ext cx="25590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799999999999997pt;margin-top:1.pt;width:20.149999999999999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side="right" anchorx="page"/>
              </v:shape>
            </w:pict>
          </mc:Fallback>
        </mc:AlternateContent>
      </w:r>
      <w:r>
        <w:rPr>
          <w:b/>
          <w:bCs/>
          <w:color w:val="000000"/>
          <w:spacing w:val="0"/>
          <w:w w:val="100"/>
          <w:position w:val="0"/>
          <w:shd w:val="clear" w:color="auto" w:fill="auto"/>
          <w:lang w:val="cs-CZ" w:eastAsia="cs-CZ" w:bidi="cs-CZ"/>
        </w:rPr>
        <w:t>Práce spojené s prováděním stavby spočívající zejména v činnostech:</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pokud nebude se zadavatelem dohodnuto jinak</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zajištění systematického doplňování dokumentace, podle které se stavba realizuje a kontroly, zda zhotovitel průběžně zpracovává dokumentaci skutečného provedení stavby </w:t>
      </w: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svolávání a organizace pravidelných kontrolních dnů v četnosti podle požadavku zadavatele včetně zápisu z kontrolního dne stavby včetně </w:t>
      </w:r>
      <w:r>
        <w:rPr>
          <w:b/>
          <w:bCs/>
          <w:color w:val="000000"/>
          <w:spacing w:val="0"/>
          <w:w w:val="100"/>
          <w:position w:val="0"/>
          <w:shd w:val="clear" w:color="auto" w:fill="auto"/>
          <w:lang w:val="cs-CZ" w:eastAsia="cs-CZ" w:bidi="cs-CZ"/>
        </w:rPr>
        <w:t xml:space="preserve">příslušné fotodokumentace opatřené průkazným datem jejího pořízení, </w:t>
      </w:r>
      <w:r>
        <w:rPr>
          <w:color w:val="000000"/>
          <w:spacing w:val="0"/>
          <w:w w:val="100"/>
          <w:position w:val="0"/>
          <w:shd w:val="clear" w:color="auto" w:fill="auto"/>
          <w:lang w:val="cs-CZ" w:eastAsia="cs-CZ" w:bidi="cs-CZ"/>
        </w:rPr>
        <w:t>zápis bude TDS zpracován a odeslán objednateli do 3 pracovních dnů od termínu konání kontrolního dne</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dodržování schválených technologických postupů</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stavbyvedoucím a s orgány příslušnými v rámci stavebních akcí</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příprava podkladů pro odevzdání a převzetí stavby, nebo její části</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vyklizení staveniště zhotovitelem</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
        <w:keepNext w:val="0"/>
        <w:keepLines w:val="0"/>
        <w:widowControl w:val="0"/>
        <w:numPr>
          <w:ilvl w:val="0"/>
          <w:numId w:val="3"/>
        </w:numPr>
        <w:shd w:val="clear" w:color="auto" w:fill="auto"/>
        <w:tabs>
          <w:tab w:pos="641" w:val="left"/>
        </w:tabs>
        <w:bidi w:val="0"/>
        <w:spacing w:before="0" w:line="240" w:lineRule="auto"/>
        <w:ind w:left="0" w:right="0" w:firstLine="0"/>
        <w:jc w:val="both"/>
      </w:pPr>
      <w:r>
        <w:rPr>
          <w:b/>
          <w:bCs/>
          <w:color w:val="000000"/>
          <w:spacing w:val="0"/>
          <w:w w:val="100"/>
          <w:position w:val="0"/>
          <w:shd w:val="clear" w:color="auto" w:fill="auto"/>
          <w:lang w:val="cs-CZ" w:eastAsia="cs-CZ" w:bidi="cs-CZ"/>
        </w:rPr>
        <w:t>Práce po dokončení stavby spočívající zejména v činnostech:</w:t>
      </w:r>
    </w:p>
    <w:p>
      <w:pPr>
        <w:pStyle w:val="Style2"/>
        <w:keepNext w:val="0"/>
        <w:keepLines w:val="0"/>
        <w:widowControl w:val="0"/>
        <w:shd w:val="clear" w:color="auto" w:fill="auto"/>
        <w:bidi w:val="0"/>
        <w:spacing w:before="0" w:after="340" w:line="240" w:lineRule="auto"/>
        <w:ind w:left="0" w:right="0" w:firstLine="720"/>
        <w:jc w:val="left"/>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zpracování podkladů pro závěrečné vyúčtování stavby po odstranění event. závad.</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2"/>
        <w:keepNext w:val="0"/>
        <w:keepLines w:val="0"/>
        <w:widowControl w:val="0"/>
        <w:numPr>
          <w:ilvl w:val="0"/>
          <w:numId w:val="5"/>
        </w:numPr>
        <w:shd w:val="clear" w:color="auto" w:fill="auto"/>
        <w:tabs>
          <w:tab w:pos="641" w:val="left"/>
        </w:tabs>
        <w:bidi w:val="0"/>
        <w:spacing w:before="0" w:line="240" w:lineRule="auto"/>
        <w:ind w:left="0" w:right="0" w:firstLine="0"/>
        <w:jc w:val="left"/>
      </w:pPr>
      <w:r>
        <w:rPr>
          <w:color w:val="000000"/>
          <w:spacing w:val="0"/>
          <w:w w:val="100"/>
          <w:position w:val="0"/>
          <w:shd w:val="clear" w:color="auto" w:fill="auto"/>
          <w:lang w:val="cs-CZ" w:eastAsia="cs-CZ" w:bidi="cs-CZ"/>
        </w:rPr>
        <w:t>TDS zahájí svoji činnost ihned po účinnosti smlouvy okamžikem prvního úkonu dle článku 3, bod 3.1.</w:t>
      </w:r>
    </w:p>
    <w:p>
      <w:pPr>
        <w:pStyle w:val="Style2"/>
        <w:keepNext w:val="0"/>
        <w:keepLines w:val="0"/>
        <w:widowControl w:val="0"/>
        <w:numPr>
          <w:ilvl w:val="0"/>
          <w:numId w:val="5"/>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TDS, platební podmínky</w:t>
      </w:r>
    </w:p>
    <w:p>
      <w:pPr>
        <w:pStyle w:val="Style2"/>
        <w:keepNext w:val="0"/>
        <w:keepLines w:val="0"/>
        <w:widowControl w:val="0"/>
        <w:numPr>
          <w:ilvl w:val="0"/>
          <w:numId w:val="7"/>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2"/>
        <w:keepNext w:val="0"/>
        <w:keepLines w:val="0"/>
        <w:widowControl w:val="0"/>
        <w:shd w:val="clear" w:color="auto" w:fill="auto"/>
        <w:bidi w:val="0"/>
        <w:spacing w:before="0" w:after="34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right"/>
        <w:tblLayout w:type="fixed"/>
      </w:tblPr>
      <w:tblGrid>
        <w:gridCol w:w="4402"/>
        <w:gridCol w:w="3835"/>
      </w:tblGrid>
      <w:tr>
        <w:trPr>
          <w:trHeight w:val="504"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15.000 Kč bez DPH</w:t>
            </w:r>
          </w:p>
        </w:tc>
      </w:tr>
      <w:tr>
        <w:trPr>
          <w:trHeight w:val="509"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10.000 Kč bez DPH</w:t>
            </w:r>
          </w:p>
        </w:tc>
      </w:tr>
      <w:tr>
        <w:trPr>
          <w:trHeight w:val="504"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25.000 Kč</w:t>
            </w:r>
          </w:p>
        </w:tc>
      </w:tr>
      <w:tr>
        <w:trPr>
          <w:trHeight w:val="437"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2020" w:right="0" w:firstLine="0"/>
              <w:jc w:val="left"/>
            </w:pPr>
            <w:r>
              <w:rPr>
                <w:b/>
                <w:bCs/>
                <w:color w:val="000000"/>
                <w:spacing w:val="0"/>
                <w:w w:val="100"/>
                <w:position w:val="0"/>
                <w:shd w:val="clear" w:color="auto" w:fill="auto"/>
                <w:lang w:val="cs-CZ" w:eastAsia="cs-CZ" w:bidi="cs-CZ"/>
              </w:rPr>
              <w:t>5.250 Kč</w:t>
            </w:r>
          </w:p>
        </w:tc>
      </w:tr>
      <w:tr>
        <w:trPr>
          <w:trHeight w:val="566" w:hRule="exact"/>
        </w:trPr>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30.250 Kč</w:t>
            </w:r>
          </w:p>
        </w:tc>
      </w:tr>
    </w:tbl>
    <w:p>
      <w:pPr>
        <w:widowControl w:val="0"/>
        <w:spacing w:after="339" w:line="1" w:lineRule="exact"/>
      </w:pPr>
    </w:p>
    <w:p>
      <w:pPr>
        <w:pStyle w:val="Style2"/>
        <w:keepNext w:val="0"/>
        <w:keepLines w:val="0"/>
        <w:widowControl w:val="0"/>
        <w:shd w:val="clear" w:color="auto" w:fill="auto"/>
        <w:bidi w:val="0"/>
        <w:spacing w:before="0" w:after="240" w:line="240" w:lineRule="auto"/>
        <w:ind w:left="0" w:right="0" w:firstLine="74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right"/>
        <w:tblLayout w:type="fixed"/>
      </w:tblPr>
      <w:tblGrid>
        <w:gridCol w:w="4402"/>
        <w:gridCol w:w="3835"/>
      </w:tblGrid>
      <w:tr>
        <w:trPr>
          <w:trHeight w:val="59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580 Kč bez DPH</w:t>
            </w:r>
          </w:p>
        </w:tc>
      </w:tr>
      <w:tr>
        <w:trPr>
          <w:trHeight w:val="600" w:hRule="exact"/>
        </w:trPr>
        <w:tc>
          <w:tcPr>
            <w:tcBorders>
              <w:top w:val="single" w:sz="4"/>
              <w:left w:val="single" w:sz="4"/>
              <w:bottom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970 Kč bez DPH</w:t>
            </w:r>
          </w:p>
        </w:tc>
      </w:tr>
    </w:tbl>
    <w:p>
      <w:pPr>
        <w:widowControl w:val="0"/>
        <w:spacing w:after="499" w:line="1" w:lineRule="exact"/>
      </w:pP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2"/>
        <w:keepNext w:val="0"/>
        <w:keepLines w:val="0"/>
        <w:widowControl w:val="0"/>
        <w:numPr>
          <w:ilvl w:val="0"/>
          <w:numId w:val="7"/>
        </w:numPr>
        <w:shd w:val="clear" w:color="auto" w:fill="auto"/>
        <w:tabs>
          <w:tab w:pos="575" w:val="left"/>
        </w:tabs>
        <w:bidi w:val="0"/>
        <w:spacing w:before="0" w:line="271" w:lineRule="auto"/>
        <w:ind w:left="0" w:right="0" w:firstLine="0"/>
        <w:jc w:val="both"/>
      </w:pPr>
      <w:r>
        <w:rPr>
          <w:color w:val="000000"/>
          <w:spacing w:val="0"/>
          <w:w w:val="100"/>
          <w:position w:val="0"/>
          <w:shd w:val="clear" w:color="auto" w:fill="auto"/>
          <w:lang w:val="cs-CZ" w:eastAsia="cs-CZ" w:bidi="cs-CZ"/>
        </w:rPr>
        <w:t xml:space="preserve">Faktury budou vystaveny měsíčně v jednom vyhotovení a doručeny na adresu objednatele. Mimo povinných náležitostí dle zákona je TDS povinen uvádět na daňovém dokladu doslovný a přesný název akce </w:t>
      </w:r>
      <w:r>
        <w:rPr>
          <w:color w:val="000000"/>
          <w:spacing w:val="0"/>
          <w:w w:val="100"/>
          <w:position w:val="0"/>
          <w:shd w:val="clear" w:color="auto" w:fill="auto"/>
          <w:lang w:val="cs-CZ" w:eastAsia="cs-CZ" w:bidi="cs-CZ"/>
        </w:rPr>
        <w:t xml:space="preserve">nebo akcí, který je definován v ustanovení čl. 2 této smlouvy. Součástí faktury bude soupis počtu návštěv TDS </w:t>
      </w:r>
      <w:r>
        <w:rPr>
          <w:color w:val="000000"/>
          <w:spacing w:val="0"/>
          <w:w w:val="100"/>
          <w:position w:val="0"/>
          <w:shd w:val="clear" w:color="auto" w:fill="auto"/>
          <w:lang w:val="cs-CZ" w:eastAsia="cs-CZ" w:bidi="cs-CZ"/>
        </w:rPr>
        <w:t>v daném měsíci, odsouhlasený zástupcem objednatele.</w:t>
      </w:r>
    </w:p>
    <w:p>
      <w:pPr>
        <w:pStyle w:val="Style2"/>
        <w:keepNext w:val="0"/>
        <w:keepLines w:val="0"/>
        <w:widowControl w:val="0"/>
        <w:numPr>
          <w:ilvl w:val="0"/>
          <w:numId w:val="7"/>
        </w:numPr>
        <w:shd w:val="clear" w:color="auto" w:fill="auto"/>
        <w:tabs>
          <w:tab w:pos="578" w:val="left"/>
        </w:tabs>
        <w:bidi w:val="0"/>
        <w:spacing w:before="0" w:line="271"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2"/>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2"/>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2"/>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2"/>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2"/>
        <w:keepNext w:val="0"/>
        <w:keepLines w:val="0"/>
        <w:widowControl w:val="0"/>
        <w:numPr>
          <w:ilvl w:val="0"/>
          <w:numId w:val="7"/>
        </w:numPr>
        <w:shd w:val="clear" w:color="auto" w:fill="auto"/>
        <w:tabs>
          <w:tab w:pos="59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Odpovědný TDS - Dopravní stavby / Mosty a inženýrské konstrukce</w:t>
      </w:r>
    </w:p>
    <w:p>
      <w:pPr>
        <w:pStyle w:val="Style2"/>
        <w:keepNext w:val="0"/>
        <w:keepLines w:val="0"/>
        <w:widowControl w:val="0"/>
        <w:shd w:val="clear" w:color="auto" w:fill="auto"/>
        <w:bidi w:val="0"/>
        <w:spacing w:before="0" w:after="580" w:line="240" w:lineRule="auto"/>
        <w:ind w:left="1440" w:right="0" w:firstLine="0"/>
        <w:jc w:val="left"/>
      </w:pPr>
      <w:r>
        <w:rPr>
          <w:color w:val="000000"/>
          <w:spacing w:val="0"/>
          <w:w w:val="100"/>
          <w:position w:val="0"/>
          <w:shd w:val="clear" w:color="auto" w:fill="auto"/>
          <w:lang w:val="cs-CZ" w:eastAsia="cs-CZ" w:bidi="cs-CZ"/>
        </w:rPr>
        <w:t>(jméno, příjmení, titul, číslo autorizace):</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2"/>
        <w:keepNext w:val="0"/>
        <w:keepLines w:val="0"/>
        <w:widowControl w:val="0"/>
        <w:numPr>
          <w:ilvl w:val="0"/>
          <w:numId w:val="9"/>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2"/>
        <w:keepNext w:val="0"/>
        <w:keepLines w:val="0"/>
        <w:widowControl w:val="0"/>
        <w:numPr>
          <w:ilvl w:val="0"/>
          <w:numId w:val="11"/>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2"/>
        <w:keepNext w:val="0"/>
        <w:keepLines w:val="0"/>
        <w:widowControl w:val="0"/>
        <w:numPr>
          <w:ilvl w:val="0"/>
          <w:numId w:val="11"/>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2"/>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2"/>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2"/>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2"/>
        <w:keepNext w:val="0"/>
        <w:keepLines w:val="0"/>
        <w:widowControl w:val="0"/>
        <w:numPr>
          <w:ilvl w:val="0"/>
          <w:numId w:val="13"/>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0"/>
          <w:numId w:val="15"/>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2"/>
        <w:keepNext w:val="0"/>
        <w:keepLines w:val="0"/>
        <w:widowControl w:val="0"/>
        <w:numPr>
          <w:ilvl w:val="0"/>
          <w:numId w:val="15"/>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2"/>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2"/>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1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pPr>
        <w:pStyle w:val="Style2"/>
        <w:keepNext w:val="0"/>
        <w:keepLines w:val="0"/>
        <w:widowControl w:val="0"/>
        <w:numPr>
          <w:ilvl w:val="0"/>
          <w:numId w:val="17"/>
        </w:numPr>
        <w:shd w:val="clear" w:color="auto" w:fill="auto"/>
        <w:tabs>
          <w:tab w:pos="66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2"/>
        <w:keepNext w:val="0"/>
        <w:keepLines w:val="0"/>
        <w:widowControl w:val="0"/>
        <w:numPr>
          <w:ilvl w:val="0"/>
          <w:numId w:val="17"/>
        </w:numPr>
        <w:shd w:val="clear" w:color="auto" w:fill="auto"/>
        <w:tabs>
          <w:tab w:pos="66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
        <w:keepNext w:val="0"/>
        <w:keepLines w:val="0"/>
        <w:widowControl w:val="0"/>
        <w:numPr>
          <w:ilvl w:val="0"/>
          <w:numId w:val="17"/>
        </w:numPr>
        <w:shd w:val="clear" w:color="auto" w:fill="auto"/>
        <w:tabs>
          <w:tab w:pos="66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
        <w:keepNext w:val="0"/>
        <w:keepLines w:val="0"/>
        <w:widowControl w:val="0"/>
        <w:numPr>
          <w:ilvl w:val="0"/>
          <w:numId w:val="17"/>
        </w:numPr>
        <w:shd w:val="clear" w:color="auto" w:fill="auto"/>
        <w:tabs>
          <w:tab w:pos="66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2"/>
        <w:keepNext w:val="0"/>
        <w:keepLines w:val="0"/>
        <w:widowControl w:val="0"/>
        <w:numPr>
          <w:ilvl w:val="0"/>
          <w:numId w:val="17"/>
        </w:numPr>
        <w:shd w:val="clear" w:color="auto" w:fill="auto"/>
        <w:tabs>
          <w:tab w:pos="66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17"/>
        </w:numPr>
        <w:shd w:val="clear" w:color="auto" w:fill="auto"/>
        <w:tabs>
          <w:tab w:pos="70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687"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7"/>
        </w:numPr>
        <w:shd w:val="clear" w:color="auto" w:fill="auto"/>
        <w:tabs>
          <w:tab w:pos="673" w:val="left"/>
        </w:tabs>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7"/>
        </w:numPr>
        <w:shd w:val="clear" w:color="auto" w:fill="auto"/>
        <w:tabs>
          <w:tab w:pos="682" w:val="left"/>
        </w:tabs>
        <w:bidi w:val="0"/>
        <w:spacing w:before="0" w:after="460" w:line="240"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100" w:line="240" w:lineRule="auto"/>
        <w:ind w:left="0" w:right="0" w:firstLine="460"/>
        <w:jc w:val="left"/>
      </w:pPr>
      <w:r>
        <mc:AlternateContent>
          <mc:Choice Requires="wps">
            <w:drawing>
              <wp:anchor distT="0" distB="225425" distL="114300" distR="114300" simplePos="0" relativeHeight="125829380" behindDoc="0" locked="0" layoutInCell="1" allowOverlap="1">
                <wp:simplePos x="0" y="0"/>
                <wp:positionH relativeFrom="page">
                  <wp:posOffset>735330</wp:posOffset>
                </wp:positionH>
                <wp:positionV relativeFrom="paragraph">
                  <wp:posOffset>12700</wp:posOffset>
                </wp:positionV>
                <wp:extent cx="951230" cy="182880"/>
                <wp:wrapSquare wrapText="right"/>
                <wp:docPr id="3" name="Shape 3"/>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wrap="none" lIns="0" tIns="0" rIns="0" bIns="0">
                        <a:noAutoFit/>
                      </wps:bodyPr>
                    </wps:wsp>
                  </a:graphicData>
                </a:graphic>
              </wp:anchor>
            </w:drawing>
          </mc:Choice>
          <mc:Fallback>
            <w:pict>
              <v:shape id="_x0000_s1029" type="#_x0000_t202" style="position:absolute;margin-left:57.899999999999999pt;margin-top:1.pt;width:74.900000000000006pt;height:14.4pt;z-index:-125829373;mso-wrap-distance-left:9.pt;mso-wrap-distance-right:9.pt;mso-wrap-distance-bottom:17.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mc:AlternateContent>
          <mc:Choice Requires="wps">
            <w:drawing>
              <wp:anchor distT="225425" distB="0" distL="114300" distR="114300" simplePos="0" relativeHeight="125829382" behindDoc="0" locked="0" layoutInCell="1" allowOverlap="1">
                <wp:simplePos x="0" y="0"/>
                <wp:positionH relativeFrom="page">
                  <wp:posOffset>735330</wp:posOffset>
                </wp:positionH>
                <wp:positionV relativeFrom="paragraph">
                  <wp:posOffset>238125</wp:posOffset>
                </wp:positionV>
                <wp:extent cx="951230" cy="182880"/>
                <wp:wrapSquare wrapText="right"/>
                <wp:docPr id="5" name="Shape 5"/>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31" type="#_x0000_t202" style="position:absolute;margin-left:57.899999999999999pt;margin-top:18.75pt;width:74.900000000000006pt;height:14.4pt;z-index:-125829371;mso-wrap-distance-left:9.pt;mso-wrap-distance-top:17.7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r>
        <w:rPr>
          <w:b/>
          <w:bCs/>
          <w:color w:val="000000"/>
          <w:spacing w:val="0"/>
          <w:w w:val="100"/>
          <w:position w:val="0"/>
          <w:shd w:val="clear" w:color="auto" w:fill="auto"/>
          <w:lang w:val="cs-CZ" w:eastAsia="cs-CZ" w:bidi="cs-CZ"/>
        </w:rPr>
        <w:t>Kalkulace odměny TDS</w:t>
      </w:r>
    </w:p>
    <w:p>
      <w:pPr>
        <w:pStyle w:val="Style2"/>
        <w:keepNext w:val="0"/>
        <w:keepLines w:val="0"/>
        <w:widowControl w:val="0"/>
        <w:shd w:val="clear" w:color="auto" w:fill="auto"/>
        <w:bidi w:val="0"/>
        <w:spacing w:before="0" w:after="34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460" w:line="240" w:lineRule="auto"/>
        <w:ind w:left="4260" w:right="0" w:firstLine="0"/>
        <w:jc w:val="left"/>
      </w:pPr>
      <w:r>
        <mc:AlternateContent>
          <mc:Choice Requires="wps">
            <w:drawing>
              <wp:anchor distT="0" distB="0" distL="114300" distR="114300" simplePos="0" relativeHeight="125829384" behindDoc="0" locked="0" layoutInCell="1" allowOverlap="1">
                <wp:simplePos x="0" y="0"/>
                <wp:positionH relativeFrom="page">
                  <wp:posOffset>735330</wp:posOffset>
                </wp:positionH>
                <wp:positionV relativeFrom="paragraph">
                  <wp:posOffset>12700</wp:posOffset>
                </wp:positionV>
                <wp:extent cx="332105" cy="170815"/>
                <wp:wrapSquare wrapText="right"/>
                <wp:docPr id="7" name="Shape 7"/>
                <a:graphic xmlns:a="http://schemas.openxmlformats.org/drawingml/2006/main">
                  <a:graphicData uri="http://schemas.microsoft.com/office/word/2010/wordprocessingShape">
                    <wps:wsp>
                      <wps:cNvSpPr txBox="1"/>
                      <wps:spPr>
                        <a:xfrm>
                          <a:ext cx="33210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33" type="#_x0000_t202" style="position:absolute;margin-left:57.899999999999999pt;margin-top:1.pt;width:26.149999999999999pt;height:13.44999999999999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152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3435985</wp:posOffset>
                </wp:positionH>
                <wp:positionV relativeFrom="paragraph">
                  <wp:posOffset>12700</wp:posOffset>
                </wp:positionV>
                <wp:extent cx="1435735" cy="173990"/>
                <wp:wrapSquare wrapText="left"/>
                <wp:docPr id="9" name="Shape 9"/>
                <a:graphic xmlns:a="http://schemas.openxmlformats.org/drawingml/2006/main">
                  <a:graphicData uri="http://schemas.microsoft.com/office/word/2010/wordprocessingShape">
                    <wps:wsp>
                      <wps:cNvSpPr txBox="1"/>
                      <wps:spPr>
                        <a:xfrm>
                          <a:ext cx="143573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35" type="#_x0000_t202" style="position:absolute;margin-left:270.55000000000001pt;margin-top:1.pt;width:113.05pt;height:13.699999999999999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mc:AlternateContent>
          <mc:Choice Requires="wps">
            <w:drawing>
              <wp:anchor distT="0" distB="0" distL="114300" distR="114300" simplePos="0" relativeHeight="125829388" behindDoc="0" locked="0" layoutInCell="1" allowOverlap="1">
                <wp:simplePos x="0" y="0"/>
                <wp:positionH relativeFrom="page">
                  <wp:posOffset>805815</wp:posOffset>
                </wp:positionH>
                <wp:positionV relativeFrom="paragraph">
                  <wp:posOffset>1104900</wp:posOffset>
                </wp:positionV>
                <wp:extent cx="1316990" cy="259080"/>
                <wp:wrapSquare wrapText="right"/>
                <wp:docPr id="11" name="Shape 11"/>
                <a:graphic xmlns:a="http://schemas.openxmlformats.org/drawingml/2006/main">
                  <a:graphicData uri="http://schemas.microsoft.com/office/word/2010/wordprocessingShape">
                    <wps:wsp>
                      <wps:cNvSpPr txBox="1"/>
                      <wps:spPr>
                        <a:xfrm>
                          <a:ext cx="1316990" cy="2590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Albert Jurkovič, jednatel</w:t>
                            </w:r>
                          </w:p>
                          <w:p>
                            <w:pPr>
                              <w:pStyle w:val="Style6"/>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IMDS s.r.o.</w:t>
                            </w:r>
                          </w:p>
                        </w:txbxContent>
                      </wps:txbx>
                      <wps:bodyPr lIns="0" tIns="0" rIns="0" bIns="0">
                        <a:noAutoFit/>
                      </wps:bodyPr>
                    </wps:wsp>
                  </a:graphicData>
                </a:graphic>
              </wp:anchor>
            </w:drawing>
          </mc:Choice>
          <mc:Fallback>
            <w:pict>
              <v:shape id="_x0000_s1037" type="#_x0000_t202" style="position:absolute;margin-left:63.450000000000003pt;margin-top:87.pt;width:103.7pt;height:20.399999999999999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Albert Jurkovič, jednatel</w:t>
                      </w:r>
                    </w:p>
                    <w:p>
                      <w:pPr>
                        <w:pStyle w:val="Style6"/>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IMDS s.r.o.</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Moravanech </w:t>
      </w:r>
      <w:r>
        <w:rPr>
          <w:color w:val="000000"/>
          <w:spacing w:val="0"/>
          <w:w w:val="100"/>
          <w:position w:val="0"/>
          <w:shd w:val="clear" w:color="auto" w:fill="auto"/>
          <w:lang w:val="cs-CZ" w:eastAsia="cs-CZ" w:bidi="cs-CZ"/>
        </w:rPr>
        <w:t>dne: viz podpis</w:t>
      </w:r>
    </w:p>
    <w:p>
      <w:pPr>
        <w:pStyle w:val="Style6"/>
        <w:keepNext w:val="0"/>
        <w:keepLines w:val="0"/>
        <w:widowControl w:val="0"/>
        <w:shd w:val="clear" w:color="auto" w:fill="auto"/>
        <w:bidi w:val="0"/>
        <w:spacing w:before="0" w:line="240" w:lineRule="auto"/>
        <w:ind w:left="262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Radovan Necid, ředitel organizace Krajská správa a údržba silnic Vysočiny, příspěvková organizace</w:t>
      </w:r>
    </w:p>
    <w:p>
      <w:pPr>
        <w:pStyle w:val="Style2"/>
        <w:keepNext w:val="0"/>
        <w:keepLines w:val="0"/>
        <w:widowControl w:val="0"/>
        <w:shd w:val="clear" w:color="auto" w:fill="auto"/>
        <w:bidi w:val="0"/>
        <w:spacing w:before="0" w:after="460" w:line="240" w:lineRule="auto"/>
        <w:ind w:left="8680" w:right="0" w:firstLine="0"/>
        <w:jc w:val="left"/>
      </w:pPr>
      <w:r>
        <w:rPr>
          <w:b/>
          <w:bCs/>
          <w:color w:val="000000"/>
          <w:spacing w:val="0"/>
          <w:w w:val="100"/>
          <w:position w:val="0"/>
          <w:shd w:val="clear" w:color="auto" w:fill="auto"/>
          <w:lang w:val="cs-CZ" w:eastAsia="cs-CZ" w:bidi="cs-CZ"/>
        </w:rPr>
        <w:t>Příloha č. 2</w:t>
      </w:r>
    </w:p>
    <w:p>
      <w:pPr>
        <w:pStyle w:val="Style2"/>
        <w:keepNext w:val="0"/>
        <w:keepLines w:val="0"/>
        <w:widowControl w:val="0"/>
        <w:shd w:val="clear" w:color="auto" w:fill="auto"/>
        <w:bidi w:val="0"/>
        <w:spacing w:before="0" w:after="1160" w:line="240" w:lineRule="auto"/>
        <w:ind w:left="0" w:right="0" w:firstLine="0"/>
        <w:jc w:val="center"/>
      </w:pPr>
      <w:r>
        <w:rPr>
          <w:b/>
          <w:bCs/>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after="2080" w:line="240" w:lineRule="auto"/>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IMDS s.r.o.</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Osoby pověřené jednat jménem zhotovitele ve věcech smluvních: </w:t>
      </w: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2240" w:h="15840"/>
          <w:pgMar w:top="1670" w:left="1151" w:right="1282" w:bottom="1161" w:header="0" w:footer="3" w:gutter="0"/>
          <w:pgNumType w:start="1"/>
          <w:cols w:space="720"/>
          <w:noEndnote/>
          <w:rtlGutter w:val="0"/>
          <w:docGrid w:linePitch="360"/>
        </w:sectPr>
      </w:pPr>
      <w:r>
        <w:rPr>
          <w:color w:val="000000"/>
          <w:spacing w:val="0"/>
          <w:w w:val="100"/>
          <w:position w:val="0"/>
          <w:shd w:val="clear" w:color="auto" w:fill="auto"/>
          <w:lang w:val="cs-CZ" w:eastAsia="cs-CZ" w:bidi="cs-CZ"/>
        </w:rPr>
        <w:t>Autorizovaná osoba:</w:t>
      </w:r>
    </w:p>
    <w:tbl>
      <w:tblPr>
        <w:tblOverlap w:val="never"/>
        <w:jc w:val="center"/>
        <w:tblLayout w:type="fixed"/>
      </w:tblPr>
      <w:tblGrid>
        <w:gridCol w:w="562"/>
        <w:gridCol w:w="5981"/>
        <w:gridCol w:w="1550"/>
        <w:gridCol w:w="1680"/>
      </w:tblGrid>
      <w:tr>
        <w:trPr>
          <w:trHeight w:val="514" w:hRule="exact"/>
        </w:trPr>
        <w:tc>
          <w:tcPr>
            <w:gridSpan w:val="4"/>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Příloha č. 1</w:t>
            </w:r>
          </w:p>
        </w:tc>
      </w:tr>
      <w:tr>
        <w:trPr>
          <w:trHeight w:val="571" w:hRule="exact"/>
        </w:trPr>
        <w:tc>
          <w:tcPr>
            <w:gridSpan w:val="4"/>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Kalkulace odměny TDS pro dopravní / pozemní stavby</w:t>
            </w:r>
          </w:p>
        </w:tc>
      </w:tr>
      <w:tr>
        <w:trPr>
          <w:trHeight w:val="518" w:hRule="exact"/>
        </w:trPr>
        <w:tc>
          <w:tcPr>
            <w:gridSpan w:val="4"/>
            <w:tcBorders>
              <w:top w:val="single" w:sz="4"/>
              <w:left w:val="single" w:sz="4"/>
              <w:right w:val="single" w:sz="4"/>
            </w:tcBorders>
            <w:shd w:val="clear" w:color="auto" w:fill="FFFF00"/>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akce: "III/35725 České Milovy - most ev. č. 35725-4"</w:t>
            </w:r>
          </w:p>
        </w:tc>
      </w:tr>
      <w:tr>
        <w:trPr>
          <w:trHeight w:val="374" w:hRule="exact"/>
        </w:trPr>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200"/>
              <w:jc w:val="both"/>
              <w:rPr>
                <w:sz w:val="15"/>
                <w:szCs w:val="15"/>
              </w:rPr>
            </w:pPr>
            <w:r>
              <w:rPr>
                <w:b/>
                <w:bCs/>
                <w:color w:val="000000"/>
                <w:spacing w:val="0"/>
                <w:w w:val="100"/>
                <w:position w:val="0"/>
                <w:sz w:val="15"/>
                <w:szCs w:val="15"/>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Cena v Kč bez DPH</w:t>
            </w:r>
          </w:p>
        </w:tc>
      </w:tr>
      <w:tr>
        <w:trPr>
          <w:trHeight w:val="37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celkem</w:t>
            </w:r>
          </w:p>
        </w:tc>
      </w:tr>
      <w:tr>
        <w:trPr>
          <w:trHeight w:val="490" w:hRule="exact"/>
        </w:trPr>
        <w:tc>
          <w:tcPr>
            <w:gridSpan w:val="2"/>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82"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za práci před zahájením stavby</w:t>
            </w:r>
          </w:p>
          <w:p>
            <w:pPr>
              <w:pStyle w:val="Style24"/>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15 000,00 Kč</w:t>
            </w:r>
          </w:p>
        </w:tc>
      </w:tr>
      <w:tr>
        <w:trPr>
          <w:trHeight w:val="797"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za práci po dokončení stavby</w:t>
            </w:r>
          </w:p>
          <w:p>
            <w:pPr>
              <w:pStyle w:val="Style24"/>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10 000,00 Kč</w:t>
            </w:r>
          </w:p>
        </w:tc>
      </w:tr>
      <w:tr>
        <w:trPr>
          <w:trHeight w:val="634" w:hRule="exact"/>
        </w:trPr>
        <w:tc>
          <w:tcPr>
            <w:gridSpan w:val="2"/>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A. Cena za výkon TDS před zahájením a po dokončení stavby celkem</w:t>
            </w:r>
          </w:p>
        </w:tc>
        <w:tc>
          <w:tcPr>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700"/>
              <w:jc w:val="both"/>
              <w:rPr>
                <w:sz w:val="15"/>
                <w:szCs w:val="15"/>
              </w:rPr>
            </w:pPr>
            <w:r>
              <w:rPr>
                <w:b/>
                <w:bCs/>
                <w:color w:val="000000"/>
                <w:spacing w:val="0"/>
                <w:w w:val="100"/>
                <w:position w:val="0"/>
                <w:sz w:val="15"/>
                <w:szCs w:val="15"/>
                <w:shd w:val="clear" w:color="auto" w:fill="auto"/>
                <w:lang w:val="cs-CZ" w:eastAsia="cs-CZ" w:bidi="cs-CZ"/>
              </w:rPr>
              <w:t>25 000,00 Kč</w:t>
            </w:r>
          </w:p>
        </w:tc>
      </w:tr>
      <w:tr>
        <w:trPr>
          <w:trHeight w:val="806" w:hRule="exact"/>
        </w:trPr>
        <w:tc>
          <w:tcPr>
            <w:gridSpan w:val="2"/>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B. Výkon TDS - práce spojené s prováděním stavby</w:t>
            </w:r>
          </w:p>
          <w:p>
            <w:pPr>
              <w:pStyle w:val="Style24"/>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76"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z a 1 h o d i n u (60 minut)</w:t>
            </w:r>
          </w:p>
        </w:tc>
        <w:tc>
          <w:tcPr>
            <w:tcBorders>
              <w:top w:val="single" w:sz="4"/>
              <w:left w:val="single" w:sz="4"/>
              <w:right w:val="single" w:sz="4"/>
            </w:tcBorders>
            <w:shd w:val="clear" w:color="auto" w:fill="FFFF00"/>
            <w:vAlign w:val="center"/>
          </w:tcPr>
          <w:p>
            <w:pPr>
              <w:pStyle w:val="Style24"/>
              <w:keepNext w:val="0"/>
              <w:keepLines w:val="0"/>
              <w:widowControl w:val="0"/>
              <w:shd w:val="clear" w:color="auto" w:fill="auto"/>
              <w:bidi w:val="0"/>
              <w:spacing w:before="0" w:after="0" w:line="240" w:lineRule="auto"/>
              <w:ind w:left="0" w:right="0" w:firstLine="0"/>
              <w:jc w:val="right"/>
              <w:rPr>
                <w:sz w:val="15"/>
                <w:szCs w:val="15"/>
              </w:rPr>
            </w:pPr>
            <w:r>
              <w:rPr>
                <w:b/>
                <w:bCs/>
                <w:i/>
                <w:iCs/>
                <w:color w:val="000000"/>
                <w:spacing w:val="0"/>
                <w:w w:val="100"/>
                <w:position w:val="0"/>
                <w:sz w:val="15"/>
                <w:szCs w:val="15"/>
                <w:shd w:val="clear" w:color="auto" w:fill="auto"/>
                <w:lang w:val="cs-CZ" w:eastAsia="cs-CZ" w:bidi="cs-CZ"/>
              </w:rPr>
              <w:t>celkem za 24 hodin *</w:t>
            </w:r>
          </w:p>
        </w:tc>
      </w:tr>
      <w:tr>
        <w:trPr>
          <w:trHeight w:val="907"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00"/>
            <w:vAlign w:val="center"/>
          </w:tcPr>
          <w:p>
            <w:pPr>
              <w:pStyle w:val="Style2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Práce spojené s výkonem TDS v kanceláři</w:t>
            </w:r>
          </w:p>
          <w:p>
            <w:pPr>
              <w:pStyle w:val="Style24"/>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předpokládané </w:t>
            </w:r>
            <w:r>
              <w:rPr>
                <w:b/>
                <w:bCs/>
                <w:color w:val="000000"/>
                <w:spacing w:val="0"/>
                <w:w w:val="100"/>
                <w:position w:val="0"/>
                <w:sz w:val="15"/>
                <w:szCs w:val="15"/>
                <w:shd w:val="clear" w:color="auto" w:fill="auto"/>
                <w:lang w:val="cs-CZ" w:eastAsia="cs-CZ" w:bidi="cs-CZ"/>
              </w:rPr>
              <w:t>náklady bez nároku na cestové</w:t>
            </w:r>
          </w:p>
          <w:p>
            <w:pPr>
              <w:pStyle w:val="Style24"/>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v předpokládaném rozsahu </w:t>
            </w:r>
            <w:r>
              <w:rPr>
                <w:b/>
                <w:bCs/>
                <w:color w:val="000000"/>
                <w:spacing w:val="0"/>
                <w:w w:val="100"/>
                <w:position w:val="0"/>
                <w:sz w:val="15"/>
                <w:szCs w:val="15"/>
                <w:shd w:val="clear" w:color="auto" w:fill="auto"/>
                <w:lang w:val="cs-CZ" w:eastAsia="cs-CZ" w:bidi="cs-CZ"/>
              </w:rPr>
              <w:t>1 hodina/týden</w:t>
            </w:r>
          </w:p>
          <w:p>
            <w:pPr>
              <w:pStyle w:val="Style24"/>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předpokládaný počet týdnů 24</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580,00 Kč</w:t>
            </w: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13 920,00 Kč</w:t>
            </w:r>
          </w:p>
        </w:tc>
      </w:tr>
      <w:tr>
        <w:trPr>
          <w:trHeight w:val="586" w:hRule="exact"/>
        </w:trPr>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4.</w:t>
            </w:r>
          </w:p>
        </w:tc>
        <w:tc>
          <w:tcPr>
            <w:vMerge w:val="restart"/>
            <w:tcBorders>
              <w:top w:val="single" w:sz="4"/>
              <w:left w:val="single" w:sz="4"/>
            </w:tcBorders>
            <w:shd w:val="clear" w:color="auto" w:fill="FFFF00"/>
            <w:vAlign w:val="top"/>
          </w:tcPr>
          <w:p>
            <w:pPr>
              <w:pStyle w:val="Style24"/>
              <w:keepNext w:val="0"/>
              <w:keepLines w:val="0"/>
              <w:widowControl w:val="0"/>
              <w:shd w:val="clear" w:color="auto" w:fill="auto"/>
              <w:bidi w:val="0"/>
              <w:spacing w:before="0" w:after="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Práce spojené s výkonem TDS na staveništi</w:t>
            </w:r>
          </w:p>
          <w:p>
            <w:pPr>
              <w:pStyle w:val="Style24"/>
              <w:keepNext w:val="0"/>
              <w:keepLines w:val="0"/>
              <w:widowControl w:val="0"/>
              <w:numPr>
                <w:ilvl w:val="0"/>
                <w:numId w:val="21"/>
              </w:numPr>
              <w:shd w:val="clear" w:color="auto" w:fill="auto"/>
              <w:tabs>
                <w:tab w:pos="96" w:val="left"/>
              </w:tabs>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předpokládané náklady </w:t>
            </w:r>
            <w:r>
              <w:rPr>
                <w:b/>
                <w:bCs/>
                <w:color w:val="000000"/>
                <w:spacing w:val="0"/>
                <w:w w:val="100"/>
                <w:position w:val="0"/>
                <w:sz w:val="15"/>
                <w:szCs w:val="15"/>
                <w:shd w:val="clear" w:color="auto" w:fill="auto"/>
                <w:lang w:val="cs-CZ" w:eastAsia="cs-CZ" w:bidi="cs-CZ"/>
              </w:rPr>
              <w:t>včetně cestovného</w:t>
            </w:r>
          </w:p>
          <w:p>
            <w:pPr>
              <w:pStyle w:val="Style24"/>
              <w:keepNext w:val="0"/>
              <w:keepLines w:val="0"/>
              <w:widowControl w:val="0"/>
              <w:numPr>
                <w:ilvl w:val="0"/>
                <w:numId w:val="21"/>
              </w:numPr>
              <w:shd w:val="clear" w:color="auto" w:fill="auto"/>
              <w:tabs>
                <w:tab w:pos="96" w:val="left"/>
              </w:tabs>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v předpokládaném rozsahu </w:t>
            </w:r>
            <w:r>
              <w:rPr>
                <w:b/>
                <w:bCs/>
                <w:color w:val="000000"/>
                <w:spacing w:val="0"/>
                <w:w w:val="100"/>
                <w:position w:val="0"/>
                <w:sz w:val="15"/>
                <w:szCs w:val="15"/>
                <w:shd w:val="clear" w:color="auto" w:fill="auto"/>
                <w:lang w:val="cs-CZ" w:eastAsia="cs-CZ" w:bidi="cs-CZ"/>
              </w:rPr>
              <w:t>2 návštěvy/týden á 3 hodiny, celkem 24 týdnů</w:t>
            </w:r>
          </w:p>
          <w:p>
            <w:pPr>
              <w:pStyle w:val="Style24"/>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 xml:space="preserve">(vzorec pro výpočet hodin: </w:t>
            </w:r>
            <w:r>
              <w:rPr>
                <w:b/>
                <w:bCs/>
                <w:i/>
                <w:iCs/>
                <w:color w:val="000000"/>
                <w:spacing w:val="0"/>
                <w:w w:val="100"/>
                <w:position w:val="0"/>
                <w:sz w:val="15"/>
                <w:szCs w:val="15"/>
                <w:shd w:val="clear" w:color="auto" w:fill="auto"/>
                <w:lang w:val="cs-CZ" w:eastAsia="cs-CZ" w:bidi="cs-CZ"/>
              </w:rPr>
              <w:t xml:space="preserve">2 </w:t>
            </w:r>
            <w:r>
              <w:rPr>
                <w:i/>
                <w:iCs/>
                <w:color w:val="000000"/>
                <w:spacing w:val="0"/>
                <w:w w:val="100"/>
                <w:position w:val="0"/>
                <w:sz w:val="15"/>
                <w:szCs w:val="15"/>
                <w:shd w:val="clear" w:color="auto" w:fill="auto"/>
                <w:lang w:val="cs-CZ" w:eastAsia="cs-CZ" w:bidi="cs-CZ"/>
              </w:rPr>
              <w:t xml:space="preserve">návštěvy x </w:t>
            </w:r>
            <w:r>
              <w:rPr>
                <w:b/>
                <w:bCs/>
                <w:i/>
                <w:iCs/>
                <w:color w:val="000000"/>
                <w:spacing w:val="0"/>
                <w:w w:val="100"/>
                <w:position w:val="0"/>
                <w:sz w:val="15"/>
                <w:szCs w:val="15"/>
                <w:shd w:val="clear" w:color="auto" w:fill="auto"/>
                <w:lang w:val="cs-CZ" w:eastAsia="cs-CZ" w:bidi="cs-CZ"/>
              </w:rPr>
              <w:t xml:space="preserve">3 </w:t>
            </w:r>
            <w:r>
              <w:rPr>
                <w:i/>
                <w:iCs/>
                <w:color w:val="000000"/>
                <w:spacing w:val="0"/>
                <w:w w:val="100"/>
                <w:position w:val="0"/>
                <w:sz w:val="15"/>
                <w:szCs w:val="15"/>
                <w:shd w:val="clear" w:color="auto" w:fill="auto"/>
                <w:lang w:val="cs-CZ" w:eastAsia="cs-CZ" w:bidi="cs-CZ"/>
              </w:rPr>
              <w:t xml:space="preserve">hod. výkonu TDS x 24 týdnů = 144 </w:t>
            </w:r>
            <w:r>
              <w:rPr>
                <w:b/>
                <w:bCs/>
                <w:i/>
                <w:iCs/>
                <w:color w:val="000000"/>
                <w:spacing w:val="0"/>
                <w:w w:val="100"/>
                <w:position w:val="0"/>
                <w:sz w:val="15"/>
                <w:szCs w:val="15"/>
                <w:shd w:val="clear" w:color="auto" w:fill="auto"/>
                <w:lang w:val="cs-CZ" w:eastAsia="cs-CZ" w:bidi="cs-CZ"/>
              </w:rPr>
              <w:t xml:space="preserve">hodin výkonu TDS celkem </w:t>
            </w:r>
            <w:r>
              <w:rPr>
                <w:i/>
                <w:iCs/>
                <w:color w:val="000000"/>
                <w:spacing w:val="0"/>
                <w:w w:val="100"/>
                <w:position w:val="0"/>
                <w:sz w:val="15"/>
                <w:szCs w:val="15"/>
                <w:shd w:val="clear" w:color="auto" w:fill="auto"/>
                <w:lang w:val="cs-CZ" w:eastAsia="cs-CZ" w:bidi="cs-CZ"/>
              </w:rPr>
              <w:t>)</w:t>
            </w:r>
          </w:p>
          <w:p>
            <w:pPr>
              <w:pStyle w:val="Style24"/>
              <w:keepNext w:val="0"/>
              <w:keepLines w:val="0"/>
              <w:widowControl w:val="0"/>
              <w:shd w:val="clear" w:color="auto" w:fill="auto"/>
              <w:bidi w:val="0"/>
              <w:spacing w:before="0" w:after="0" w:line="276" w:lineRule="auto"/>
              <w:ind w:left="0" w:right="0" w:firstLine="0"/>
              <w:jc w:val="left"/>
              <w:rPr>
                <w:sz w:val="15"/>
                <w:szCs w:val="15"/>
              </w:rPr>
            </w:pPr>
            <w:r>
              <w:rPr>
                <w:b/>
                <w:bCs/>
                <w:color w:val="C00000"/>
                <w:spacing w:val="0"/>
                <w:w w:val="100"/>
                <w:position w:val="0"/>
                <w:sz w:val="15"/>
                <w:szCs w:val="15"/>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970,00 Kč</w:t>
            </w:r>
          </w:p>
        </w:tc>
        <w:tc>
          <w:tcPr>
            <w:tcBorders>
              <w:top w:val="single" w:sz="4"/>
              <w:left w:val="single" w:sz="4"/>
              <w:right w:val="single" w:sz="4"/>
            </w:tcBorders>
            <w:shd w:val="clear" w:color="auto" w:fill="FFFF00"/>
            <w:vAlign w:val="center"/>
          </w:tcPr>
          <w:p>
            <w:pPr>
              <w:pStyle w:val="Style24"/>
              <w:keepNext w:val="0"/>
              <w:keepLines w:val="0"/>
              <w:widowControl w:val="0"/>
              <w:shd w:val="clear" w:color="auto" w:fill="auto"/>
              <w:bidi w:val="0"/>
              <w:spacing w:before="0" w:after="0" w:line="240" w:lineRule="auto"/>
              <w:ind w:left="0" w:right="0" w:firstLine="0"/>
              <w:jc w:val="right"/>
              <w:rPr>
                <w:sz w:val="15"/>
                <w:szCs w:val="15"/>
              </w:rPr>
            </w:pPr>
            <w:r>
              <w:rPr>
                <w:b/>
                <w:bCs/>
                <w:i/>
                <w:iCs/>
                <w:color w:val="000000"/>
                <w:spacing w:val="0"/>
                <w:w w:val="100"/>
                <w:position w:val="0"/>
                <w:sz w:val="15"/>
                <w:szCs w:val="15"/>
                <w:shd w:val="clear" w:color="auto" w:fill="auto"/>
                <w:lang w:val="cs-CZ" w:eastAsia="cs-CZ" w:bidi="cs-CZ"/>
              </w:rPr>
              <w:t>celkem za 144 ho din</w:t>
            </w:r>
          </w:p>
          <w:p>
            <w:pPr>
              <w:pStyle w:val="Style24"/>
              <w:keepNext w:val="0"/>
              <w:keepLines w:val="0"/>
              <w:widowControl w:val="0"/>
              <w:shd w:val="clear" w:color="auto" w:fill="auto"/>
              <w:bidi w:val="0"/>
              <w:spacing w:before="0" w:after="0" w:line="18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w:t>
            </w:r>
          </w:p>
        </w:tc>
      </w:tr>
      <w:tr>
        <w:trPr>
          <w:trHeight w:val="1066" w:hRule="exact"/>
        </w:trPr>
        <w:tc>
          <w:tcPr>
            <w:vMerge/>
            <w:tcBorders>
              <w:left w:val="single" w:sz="4"/>
            </w:tcBorders>
            <w:shd w:val="clear" w:color="auto" w:fill="FFFFFF"/>
            <w:vAlign w:val="center"/>
          </w:tcPr>
          <w:p>
            <w:pPr/>
          </w:p>
        </w:tc>
        <w:tc>
          <w:tcPr>
            <w:vMerge/>
            <w:tcBorders>
              <w:left w:val="single" w:sz="4"/>
            </w:tcBorders>
            <w:shd w:val="clear" w:color="auto" w:fill="FFFF00"/>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shd w:val="clear" w:color="auto" w:fill="auto"/>
                <w:lang w:val="cs-CZ" w:eastAsia="cs-CZ" w:bidi="cs-CZ"/>
              </w:rPr>
              <w:t>139 680,00 Kč</w:t>
            </w:r>
          </w:p>
        </w:tc>
      </w:tr>
      <w:tr>
        <w:trPr>
          <w:trHeight w:val="538" w:hRule="exact"/>
        </w:trPr>
        <w:tc>
          <w:tcPr>
            <w:gridSpan w:val="2"/>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B. Cena za výkon TDS při provádění stavby celkem</w:t>
            </w:r>
          </w:p>
        </w:tc>
        <w:tc>
          <w:tcPr>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600"/>
              <w:jc w:val="left"/>
              <w:rPr>
                <w:sz w:val="15"/>
                <w:szCs w:val="15"/>
              </w:rPr>
            </w:pPr>
            <w:r>
              <w:rPr>
                <w:b/>
                <w:bCs/>
                <w:color w:val="000000"/>
                <w:spacing w:val="0"/>
                <w:w w:val="100"/>
                <w:position w:val="0"/>
                <w:sz w:val="15"/>
                <w:szCs w:val="15"/>
                <w:shd w:val="clear" w:color="auto" w:fill="auto"/>
                <w:lang w:val="cs-CZ" w:eastAsia="cs-CZ" w:bidi="cs-CZ"/>
              </w:rPr>
              <w:t>153 600,00 Kč</w:t>
            </w:r>
          </w:p>
        </w:tc>
      </w:tr>
      <w:tr>
        <w:trPr>
          <w:trHeight w:val="533" w:hRule="exact"/>
        </w:trPr>
        <w:tc>
          <w:tcPr>
            <w:gridSpan w:val="2"/>
            <w:tcBorders>
              <w:top w:val="single" w:sz="4"/>
              <w:left w:val="single" w:sz="4"/>
            </w:tcBorders>
            <w:shd w:val="clear" w:color="auto" w:fill="D1D1D1"/>
            <w:vAlign w:val="bottom"/>
          </w:tcPr>
          <w:p>
            <w:pPr>
              <w:pStyle w:val="Style24"/>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600"/>
              <w:jc w:val="left"/>
              <w:rPr>
                <w:sz w:val="15"/>
                <w:szCs w:val="15"/>
              </w:rPr>
            </w:pPr>
            <w:r>
              <w:rPr>
                <w:b/>
                <w:bCs/>
                <w:color w:val="000000"/>
                <w:spacing w:val="0"/>
                <w:w w:val="100"/>
                <w:position w:val="0"/>
                <w:sz w:val="15"/>
                <w:szCs w:val="15"/>
                <w:shd w:val="clear" w:color="auto" w:fill="auto"/>
                <w:lang w:val="cs-CZ" w:eastAsia="cs-CZ" w:bidi="cs-CZ"/>
              </w:rPr>
              <w:t>178 600,00 Kč</w:t>
            </w:r>
          </w:p>
        </w:tc>
      </w:tr>
      <w:tr>
        <w:trPr>
          <w:trHeight w:val="504" w:hRule="exact"/>
        </w:trPr>
        <w:tc>
          <w:tcPr>
            <w:gridSpan w:val="2"/>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DPH 21 %</w:t>
            </w:r>
          </w:p>
        </w:tc>
        <w:tc>
          <w:tcPr>
            <w:tcBorders>
              <w:top w:val="single" w:sz="4"/>
              <w:lef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700"/>
              <w:jc w:val="both"/>
              <w:rPr>
                <w:sz w:val="15"/>
                <w:szCs w:val="15"/>
              </w:rPr>
            </w:pPr>
            <w:r>
              <w:rPr>
                <w:b/>
                <w:bCs/>
                <w:color w:val="000000"/>
                <w:spacing w:val="0"/>
                <w:w w:val="100"/>
                <w:position w:val="0"/>
                <w:sz w:val="15"/>
                <w:szCs w:val="15"/>
                <w:shd w:val="clear" w:color="auto" w:fill="auto"/>
                <w:lang w:val="cs-CZ" w:eastAsia="cs-CZ" w:bidi="cs-CZ"/>
              </w:rPr>
              <w:t>37 506,00 Kč</w:t>
            </w:r>
          </w:p>
        </w:tc>
      </w:tr>
      <w:tr>
        <w:trPr>
          <w:trHeight w:val="682" w:hRule="exact"/>
        </w:trPr>
        <w:tc>
          <w:tcPr>
            <w:gridSpan w:val="2"/>
            <w:tcBorders>
              <w:top w:val="single" w:sz="4"/>
              <w:left w:val="single" w:sz="4"/>
              <w:bottom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4"/>
              <w:keepNext w:val="0"/>
              <w:keepLines w:val="0"/>
              <w:widowControl w:val="0"/>
              <w:shd w:val="clear" w:color="auto" w:fill="auto"/>
              <w:bidi w:val="0"/>
              <w:spacing w:before="0" w:after="0" w:line="240" w:lineRule="auto"/>
              <w:ind w:left="0" w:right="0" w:firstLine="600"/>
              <w:jc w:val="left"/>
              <w:rPr>
                <w:sz w:val="15"/>
                <w:szCs w:val="15"/>
              </w:rPr>
            </w:pPr>
            <w:r>
              <w:rPr>
                <w:b/>
                <w:bCs/>
                <w:color w:val="000000"/>
                <w:spacing w:val="0"/>
                <w:w w:val="100"/>
                <w:position w:val="0"/>
                <w:sz w:val="15"/>
                <w:szCs w:val="15"/>
                <w:shd w:val="clear" w:color="auto" w:fill="auto"/>
                <w:lang w:val="cs-CZ" w:eastAsia="cs-CZ" w:bidi="cs-CZ"/>
              </w:rPr>
              <w:t>216 106,00 Kč</w:t>
            </w:r>
          </w:p>
        </w:tc>
      </w:tr>
    </w:tbl>
    <w:p>
      <w:pPr>
        <w:widowControl w:val="0"/>
        <w:spacing w:after="339" w:line="1" w:lineRule="exact"/>
      </w:pPr>
    </w:p>
    <w:p>
      <w:pPr>
        <w:pStyle w:val="Style6"/>
        <w:keepNext w:val="0"/>
        <w:keepLines w:val="0"/>
        <w:widowControl w:val="0"/>
        <w:shd w:val="clear" w:color="auto" w:fill="auto"/>
        <w:bidi w:val="0"/>
        <w:spacing w:before="0" w:after="420" w:line="240" w:lineRule="auto"/>
        <w:ind w:left="0" w:right="0" w:firstLine="50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6"/>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6"/>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6"/>
        <w:keepNext w:val="0"/>
        <w:keepLines w:val="0"/>
        <w:widowControl w:val="0"/>
        <w:shd w:val="clear" w:color="auto" w:fill="auto"/>
        <w:bidi w:val="0"/>
        <w:spacing w:before="0" w:after="8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6"/>
        <w:keepNext w:val="0"/>
        <w:keepLines w:val="0"/>
        <w:widowControl w:val="0"/>
        <w:shd w:val="clear" w:color="auto" w:fill="auto"/>
        <w:bidi w:val="0"/>
        <w:spacing w:before="0" w:after="112"/>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6"/>
        <w:keepNext w:val="0"/>
        <w:keepLines w:val="0"/>
        <w:widowControl w:val="0"/>
        <w:pBdr>
          <w:top w:val="single" w:sz="0" w:space="2" w:color="FFFF00"/>
          <w:left w:val="single" w:sz="0" w:space="0" w:color="FFFF00"/>
          <w:bottom w:val="single" w:sz="0" w:space="5" w:color="FFFF00"/>
          <w:right w:val="single" w:sz="0" w:space="0" w:color="FFFF00"/>
        </w:pBdr>
        <w:shd w:val="clear" w:color="auto" w:fill="FFFF00"/>
        <w:bidi w:val="0"/>
        <w:spacing w:before="0" w:after="239"/>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24 hodin v kanceláři a 144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sectPr>
      <w:headerReference w:type="default" r:id="rId7"/>
      <w:footerReference w:type="default" r:id="rId8"/>
      <w:footnotePr>
        <w:pos w:val="pageBottom"/>
        <w:numFmt w:val="decimal"/>
        <w:numRestart w:val="continuous"/>
      </w:footnotePr>
      <w:pgSz w:w="12240" w:h="15840"/>
      <w:pgMar w:top="648" w:left="1178" w:right="1288" w:bottom="648" w:header="220" w:footer="22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755650</wp:posOffset>
              </wp:positionH>
              <wp:positionV relativeFrom="page">
                <wp:posOffset>9479280</wp:posOffset>
              </wp:positionV>
              <wp:extent cx="2456815" cy="213360"/>
              <wp:wrapNone/>
              <wp:docPr id="19" name="Shape 19"/>
              <a:graphic xmlns:a="http://schemas.openxmlformats.org/drawingml/2006/main">
                <a:graphicData uri="http://schemas.microsoft.com/office/word/2010/wordprocessingShape">
                  <wps:wsp>
                    <wps:cNvSpPr txBox="1"/>
                    <wps:spPr>
                      <a:xfrm>
                        <a:ext cx="2456815" cy="2133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„III/35725 České Milovy - most ev. č. 35725-4“</w:t>
                          </w:r>
                        </w:p>
                      </w:txbxContent>
                    </wps:txbx>
                    <wps:bodyPr wrap="none" lIns="0" tIns="0" rIns="0" bIns="0">
                      <a:spAutoFit/>
                    </wps:bodyPr>
                  </wps:wsp>
                </a:graphicData>
              </a:graphic>
            </wp:anchor>
          </w:drawing>
        </mc:Choice>
        <mc:Fallback>
          <w:pict>
            <v:shape id="_x0000_s1045" type="#_x0000_t202" style="position:absolute;margin-left:59.5pt;margin-top:746.39999999999998pt;width:193.44999999999999pt;height:16.80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„III/35725 České Milovy - most ev. č. 35725-4“</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5924550</wp:posOffset>
              </wp:positionH>
              <wp:positionV relativeFrom="page">
                <wp:posOffset>9482455</wp:posOffset>
              </wp:positionV>
              <wp:extent cx="591185" cy="91440"/>
              <wp:wrapNone/>
              <wp:docPr id="21" name="Shape 21"/>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7" type="#_x0000_t202" style="position:absolute;margin-left:466.5pt;margin-top:746.64999999999998pt;width:46.54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737235</wp:posOffset>
              </wp:positionH>
              <wp:positionV relativeFrom="page">
                <wp:posOffset>9444355</wp:posOffset>
              </wp:positionV>
              <wp:extent cx="6214745" cy="0"/>
              <wp:wrapNone/>
              <wp:docPr id="23" name="Shape 23"/>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049999999999997pt;margin-top:743.64999999999998pt;width:489.3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773430</wp:posOffset>
              </wp:positionH>
              <wp:positionV relativeFrom="page">
                <wp:posOffset>213360</wp:posOffset>
              </wp:positionV>
              <wp:extent cx="2179320" cy="463550"/>
              <wp:wrapNone/>
              <wp:docPr id="13" name="Shape 13"/>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39" type="#_x0000_t202" style="position:absolute;margin-left:60.899999999999999pt;margin-top:16.800000000000001pt;width:171.59999999999999pt;height:36.5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3638550</wp:posOffset>
              </wp:positionH>
              <wp:positionV relativeFrom="page">
                <wp:posOffset>262255</wp:posOffset>
              </wp:positionV>
              <wp:extent cx="1121410" cy="423545"/>
              <wp:wrapNone/>
              <wp:docPr id="15" name="Shape 15"/>
              <a:graphic xmlns:a="http://schemas.openxmlformats.org/drawingml/2006/main">
                <a:graphicData uri="http://schemas.microsoft.com/office/word/2010/wordprocessingShape">
                  <wps:wsp>
                    <wps:cNvSpPr txBox="1"/>
                    <wps:spPr>
                      <a:xfrm>
                        <a:ext cx="1121410" cy="423545"/>
                      </a:xfrm>
                      <a:prstGeom prst="rect"/>
                      <a:noFill/>
                    </wps:spPr>
                    <wps:txbx>
                      <w:txbxContent>
                        <w:p>
                          <w:pPr>
                            <w:widowControl w:val="0"/>
                            <w:rPr>
                              <w:sz w:val="2"/>
                              <w:szCs w:val="2"/>
                            </w:rPr>
                          </w:pPr>
                          <w:r>
                            <w:drawing>
                              <wp:inline>
                                <wp:extent cx="1121410" cy="42672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1121410" cy="426720"/>
                                        </a:xfrm>
                                        <a:prstGeom prst="rect"/>
                                      </pic:spPr>
                                    </pic:pic>
                                  </a:graphicData>
                                </a:graphic>
                              </wp:inline>
                            </w:drawing>
                          </w:r>
                        </w:p>
                      </w:txbxContent>
                    </wps:txbx>
                    <wps:bodyPr lIns="0" tIns="0" rIns="0" bIns="0">
                      <a:noAutoFit/>
                    </wps:bodyPr>
                  </wps:wsp>
                </a:graphicData>
              </a:graphic>
            </wp:anchor>
          </w:drawing>
        </mc:Choice>
        <mc:Fallback>
          <w:pict>
            <v:shape id="_x0000_s1042" type="#_x0000_t202" style="position:absolute;margin-left:286.5pt;margin-top:20.649999999999999pt;width:88.299999999999997pt;height:33.35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1121410" cy="42672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ext cx="1121410" cy="426720"/>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3"/>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Základní text (2)_"/>
    <w:basedOn w:val="DefaultParagraphFont"/>
    <w:link w:val="Style6"/>
    <w:rPr>
      <w:rFonts w:ascii="Arial" w:eastAsia="Arial" w:hAnsi="Arial" w:cs="Arial"/>
      <w:b/>
      <w:bCs/>
      <w:i/>
      <w:iCs/>
      <w:smallCaps w:val="0"/>
      <w:strike w:val="0"/>
      <w:sz w:val="15"/>
      <w:szCs w:val="15"/>
      <w:u w:val="none"/>
    </w:rPr>
  </w:style>
  <w:style w:type="character" w:customStyle="1" w:styleId="CharStyle10">
    <w:name w:val="Nadpis #1_"/>
    <w:basedOn w:val="DefaultParagraphFont"/>
    <w:link w:val="Style9"/>
    <w:rPr>
      <w:rFonts w:ascii="Arial" w:eastAsia="Arial" w:hAnsi="Arial" w:cs="Arial"/>
      <w:b/>
      <w:bCs/>
      <w:i w:val="0"/>
      <w:iCs w:val="0"/>
      <w:smallCaps w:val="0"/>
      <w:strike w:val="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Základní text (4)_"/>
    <w:basedOn w:val="DefaultParagraphFont"/>
    <w:link w:val="Style18"/>
    <w:rPr>
      <w:rFonts w:ascii="Arial" w:eastAsia="Arial" w:hAnsi="Arial" w:cs="Arial"/>
      <w:b w:val="0"/>
      <w:bCs w:val="0"/>
      <w:i w:val="0"/>
      <w:iCs w:val="0"/>
      <w:smallCaps w:val="0"/>
      <w:strike w:val="0"/>
      <w:u w:val="none"/>
    </w:rPr>
  </w:style>
  <w:style w:type="character" w:customStyle="1" w:styleId="CharStyle22">
    <w:name w:val="Titulek tabulky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25">
    <w:name w:val="Jiné_"/>
    <w:basedOn w:val="DefaultParagraphFont"/>
    <w:link w:val="Style24"/>
    <w:rPr>
      <w:rFonts w:ascii="Arial" w:eastAsia="Arial" w:hAnsi="Arial" w:cs="Arial"/>
      <w:b w:val="0"/>
      <w:bCs w:val="0"/>
      <w:i w:val="0"/>
      <w:iCs w:val="0"/>
      <w:smallCaps w:val="0"/>
      <w:strike w:val="0"/>
      <w:sz w:val="20"/>
      <w:szCs w:val="20"/>
      <w:u w:val="none"/>
    </w:rPr>
  </w:style>
  <w:style w:type="character" w:customStyle="1" w:styleId="CharStyle31">
    <w:name w:val="Základní text (3)_"/>
    <w:basedOn w:val="DefaultParagraphFont"/>
    <w:link w:val="Style30"/>
    <w:rPr>
      <w:rFonts w:ascii="Times New Roman" w:eastAsia="Times New Roman" w:hAnsi="Times New Roman" w:cs="Times New Roman"/>
      <w:b w:val="0"/>
      <w:bCs w:val="0"/>
      <w:i w:val="0"/>
      <w:iCs w:val="0"/>
      <w:smallCaps w:val="0"/>
      <w:strike w:val="0"/>
      <w:u w:val="none"/>
    </w:rPr>
  </w:style>
  <w:style w:type="paragraph" w:customStyle="1" w:styleId="Style2">
    <w:name w:val="Základní text"/>
    <w:basedOn w:val="Normal"/>
    <w:link w:val="CharStyle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6">
    <w:name w:val="Základní text (2)"/>
    <w:basedOn w:val="Normal"/>
    <w:link w:val="CharStyle7"/>
    <w:pPr>
      <w:widowControl w:val="0"/>
      <w:shd w:val="clear" w:color="auto" w:fill="FFFFFF"/>
      <w:spacing w:after="100" w:line="276" w:lineRule="auto"/>
    </w:pPr>
    <w:rPr>
      <w:rFonts w:ascii="Arial" w:eastAsia="Arial" w:hAnsi="Arial" w:cs="Arial"/>
      <w:b/>
      <w:bCs/>
      <w:i/>
      <w:iCs/>
      <w:smallCaps w:val="0"/>
      <w:strike w:val="0"/>
      <w:sz w:val="15"/>
      <w:szCs w:val="15"/>
      <w:u w:val="none"/>
    </w:rPr>
  </w:style>
  <w:style w:type="paragraph" w:customStyle="1" w:styleId="Style9">
    <w:name w:val="Nadpis #1"/>
    <w:basedOn w:val="Normal"/>
    <w:link w:val="CharStyle10"/>
    <w:pPr>
      <w:widowControl w:val="0"/>
      <w:shd w:val="clear" w:color="auto" w:fill="FFFFFF"/>
      <w:spacing w:before="180" w:after="220"/>
      <w:jc w:val="center"/>
      <w:outlineLvl w:val="0"/>
    </w:pPr>
    <w:rPr>
      <w:rFonts w:ascii="Arial" w:eastAsia="Arial" w:hAnsi="Arial" w:cs="Arial"/>
      <w:b/>
      <w:bCs/>
      <w:i w:val="0"/>
      <w:iCs w:val="0"/>
      <w:smallCaps w:val="0"/>
      <w:strike w:val="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Základní text (4)"/>
    <w:basedOn w:val="Normal"/>
    <w:link w:val="CharStyle19"/>
    <w:pPr>
      <w:widowControl w:val="0"/>
      <w:shd w:val="clear" w:color="auto" w:fill="FFFFFF"/>
      <w:spacing w:after="120"/>
      <w:jc w:val="center"/>
    </w:pPr>
    <w:rPr>
      <w:rFonts w:ascii="Arial" w:eastAsia="Arial" w:hAnsi="Arial" w:cs="Arial"/>
      <w:b w:val="0"/>
      <w:bCs w:val="0"/>
      <w:i w:val="0"/>
      <w:iCs w:val="0"/>
      <w:smallCaps w:val="0"/>
      <w:strike w:val="0"/>
      <w:u w:val="none"/>
    </w:rPr>
  </w:style>
  <w:style w:type="paragraph" w:customStyle="1" w:styleId="Style21">
    <w:name w:val="Titulek tabulky"/>
    <w:basedOn w:val="Normal"/>
    <w:link w:val="CharStyle22"/>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4">
    <w:name w:val="Jiné"/>
    <w:basedOn w:val="Normal"/>
    <w:link w:val="CharStyle25"/>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30">
    <w:name w:val="Základní text (3)"/>
    <w:basedOn w:val="Normal"/>
    <w:link w:val="CharStyle31"/>
    <w:pPr>
      <w:widowControl w:val="0"/>
      <w:shd w:val="clear" w:color="auto" w:fill="FFFFFF"/>
      <w:spacing w:after="120" w:line="266" w:lineRule="auto"/>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Kostelecká Miluše</dc:creator>
  <cp:keywords/>
</cp:coreProperties>
</file>