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7DE6C" w14:textId="1F547D5F" w:rsidR="00006A58" w:rsidRDefault="00F22BF6">
      <w:pPr>
        <w:pStyle w:val="Nadpis2"/>
        <w:numPr>
          <w:ilvl w:val="1"/>
          <w:numId w:val="10"/>
        </w:numPr>
        <w:jc w:val="center"/>
      </w:pPr>
      <w:bookmarkStart w:id="0" w:name="_GoBack"/>
      <w:bookmarkEnd w:id="0"/>
      <w:r>
        <w:t xml:space="preserve">Dodatek č. </w:t>
      </w:r>
      <w:r w:rsidR="00992CBF">
        <w:t>3</w:t>
      </w:r>
      <w:r w:rsidR="00B86B41">
        <w:t xml:space="preserve"> ke Smlouvě o provozování software iDES č.</w:t>
      </w:r>
      <w:r>
        <w:rPr>
          <w:rFonts w:hint="eastAsia"/>
        </w:rPr>
        <w:t> </w:t>
      </w:r>
      <w:r w:rsidR="00B86B41">
        <w:t>2016/OIVZ/</w:t>
      </w:r>
      <w:r w:rsidR="004D11B2">
        <w:t>0</w:t>
      </w:r>
      <w:r w:rsidR="00B86B41">
        <w:t>65 ze dne 27.</w:t>
      </w:r>
      <w:r w:rsidR="00176CE9">
        <w:t xml:space="preserve"> </w:t>
      </w:r>
      <w:r w:rsidR="00B86B41">
        <w:t>12.</w:t>
      </w:r>
      <w:r w:rsidR="00176CE9">
        <w:t xml:space="preserve"> </w:t>
      </w:r>
      <w:r w:rsidR="00B86B41">
        <w:t>2016</w:t>
      </w:r>
    </w:p>
    <w:p w14:paraId="4D270970" w14:textId="77777777" w:rsidR="009B571D" w:rsidRDefault="009B571D">
      <w:pPr>
        <w:pStyle w:val="Nadpis3"/>
        <w:numPr>
          <w:ilvl w:val="2"/>
          <w:numId w:val="2"/>
        </w:numPr>
        <w:spacing w:line="264" w:lineRule="auto"/>
        <w:jc w:val="both"/>
      </w:pPr>
    </w:p>
    <w:p w14:paraId="31D27ED0" w14:textId="77777777" w:rsidR="00006A58" w:rsidRDefault="00B86B41">
      <w:pPr>
        <w:pStyle w:val="Nadpis3"/>
        <w:numPr>
          <w:ilvl w:val="2"/>
          <w:numId w:val="2"/>
        </w:numPr>
        <w:spacing w:line="264" w:lineRule="auto"/>
        <w:jc w:val="both"/>
      </w:pPr>
      <w:r>
        <w:t xml:space="preserve">Smluvní strany </w:t>
      </w:r>
    </w:p>
    <w:p w14:paraId="7357BBE3" w14:textId="77777777" w:rsidR="00006A58" w:rsidRDefault="00006A58">
      <w:pPr>
        <w:pStyle w:val="Nadpis3"/>
        <w:numPr>
          <w:ilvl w:val="2"/>
          <w:numId w:val="2"/>
        </w:numPr>
        <w:spacing w:line="264" w:lineRule="auto"/>
        <w:jc w:val="both"/>
      </w:pPr>
    </w:p>
    <w:p w14:paraId="07CFFADD" w14:textId="77777777" w:rsidR="00006A58" w:rsidRDefault="00301A56">
      <w:pPr>
        <w:pStyle w:val="Nadpis5"/>
        <w:numPr>
          <w:ilvl w:val="4"/>
          <w:numId w:val="2"/>
        </w:numPr>
        <w:spacing w:line="264" w:lineRule="auto"/>
        <w:jc w:val="both"/>
      </w:pPr>
      <w:r>
        <w:t>Objednatel</w:t>
      </w:r>
    </w:p>
    <w:tbl>
      <w:tblPr>
        <w:tblW w:w="9649" w:type="dxa"/>
        <w:tblInd w:w="-2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28" w:type="dxa"/>
          <w:left w:w="-1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6994"/>
      </w:tblGrid>
      <w:tr w:rsidR="00006A58" w14:paraId="7870134B" w14:textId="77777777" w:rsidTr="00EF5B8F">
        <w:tc>
          <w:tcPr>
            <w:tcW w:w="2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0D7AC74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Obchodní firma</w:t>
            </w:r>
          </w:p>
        </w:tc>
        <w:tc>
          <w:tcPr>
            <w:tcW w:w="6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28" w:type="dxa"/>
            </w:tcMar>
          </w:tcPr>
          <w:p w14:paraId="7CFFB282" w14:textId="77777777" w:rsidR="00006A58" w:rsidRDefault="00B86B41">
            <w:pPr>
              <w:pStyle w:val="Obsahtabulky"/>
              <w:keepNext/>
              <w:spacing w:before="80" w:after="80" w:line="264" w:lineRule="auto"/>
              <w:jc w:val="both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Městská část Praha 7</w:t>
            </w:r>
          </w:p>
        </w:tc>
      </w:tr>
      <w:tr w:rsidR="00006A58" w14:paraId="1F6B5F85" w14:textId="77777777" w:rsidTr="00EF5B8F">
        <w:tc>
          <w:tcPr>
            <w:tcW w:w="2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7EA11E00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Sídlo</w:t>
            </w:r>
          </w:p>
        </w:tc>
        <w:tc>
          <w:tcPr>
            <w:tcW w:w="6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right w:w="28" w:type="dxa"/>
            </w:tcMar>
          </w:tcPr>
          <w:p w14:paraId="0608ECA6" w14:textId="698C07EE" w:rsidR="00006A58" w:rsidRDefault="00B86B41" w:rsidP="00363EB8">
            <w:pPr>
              <w:pStyle w:val="Obsahtabulky"/>
              <w:keepNext/>
              <w:spacing w:before="80" w:after="80" w:line="264" w:lineRule="auto"/>
              <w:jc w:val="both"/>
              <w:rPr>
                <w:rFonts w:hint="eastAsia"/>
              </w:rPr>
            </w:pPr>
            <w:r>
              <w:t> </w:t>
            </w:r>
            <w:r w:rsidR="002101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 Průhonu 13</w:t>
            </w:r>
            <w:r w:rsidR="00363EB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2101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8/38</w:t>
            </w:r>
            <w:r w:rsidR="00B95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170 00 Praha 7</w:t>
            </w:r>
          </w:p>
        </w:tc>
      </w:tr>
      <w:tr w:rsidR="00006A58" w14:paraId="200BD52A" w14:textId="77777777" w:rsidTr="00EF5B8F">
        <w:tc>
          <w:tcPr>
            <w:tcW w:w="2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753C222B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Korespondenční adresa</w:t>
            </w:r>
          </w:p>
        </w:tc>
        <w:tc>
          <w:tcPr>
            <w:tcW w:w="6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right w:w="28" w:type="dxa"/>
            </w:tcMar>
          </w:tcPr>
          <w:p w14:paraId="1EF7B5F2" w14:textId="302DDA31" w:rsidR="00006A58" w:rsidRDefault="00B86B41">
            <w:pPr>
              <w:pStyle w:val="Obsahtabulky"/>
              <w:keepNext/>
              <w:spacing w:before="80" w:after="80" w:line="264" w:lineRule="auto"/>
              <w:jc w:val="both"/>
              <w:rPr>
                <w:rFonts w:hint="eastAsia"/>
              </w:rPr>
            </w:pPr>
            <w:r>
              <w:t> </w:t>
            </w:r>
            <w:r w:rsidR="00363EB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 Průhonu 133</w:t>
            </w:r>
            <w:r w:rsidR="002101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8/38</w:t>
            </w:r>
            <w:r w:rsidR="00B95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170 00 Praha 7</w:t>
            </w:r>
          </w:p>
        </w:tc>
      </w:tr>
      <w:tr w:rsidR="00006A58" w14:paraId="3B5A436B" w14:textId="77777777" w:rsidTr="00EF5B8F">
        <w:tc>
          <w:tcPr>
            <w:tcW w:w="2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00FD7458" w14:textId="77777777" w:rsidR="00006A58" w:rsidRDefault="00301A56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Z</w:t>
            </w:r>
            <w:r w:rsidR="00B86B41">
              <w:rPr>
                <w:sz w:val="22"/>
              </w:rPr>
              <w:t>astoupena</w:t>
            </w:r>
          </w:p>
        </w:tc>
        <w:tc>
          <w:tcPr>
            <w:tcW w:w="6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right w:w="28" w:type="dxa"/>
            </w:tcMar>
          </w:tcPr>
          <w:p w14:paraId="1664FD68" w14:textId="3DC6FAAC" w:rsidR="00006A58" w:rsidRDefault="00B86B41" w:rsidP="007166C2">
            <w:pPr>
              <w:pStyle w:val="Obsahtabulky"/>
              <w:keepNext/>
              <w:spacing w:before="80" w:after="80" w:line="264" w:lineRule="auto"/>
              <w:jc w:val="both"/>
              <w:rPr>
                <w:rFonts w:hint="eastAsia"/>
              </w:rPr>
            </w:pPr>
            <w:r>
              <w:t> </w:t>
            </w:r>
            <w:r>
              <w:rPr>
                <w:sz w:val="22"/>
                <w:szCs w:val="22"/>
              </w:rPr>
              <w:t>Ing. Kamil</w:t>
            </w:r>
            <w:r w:rsidR="00AD3BA6">
              <w:rPr>
                <w:sz w:val="22"/>
                <w:szCs w:val="22"/>
              </w:rPr>
              <w:t xml:space="preserve">em </w:t>
            </w:r>
            <w:r>
              <w:rPr>
                <w:sz w:val="22"/>
                <w:szCs w:val="22"/>
              </w:rPr>
              <w:t>Vavřinc</w:t>
            </w:r>
            <w:r w:rsidR="00AD3BA6">
              <w:rPr>
                <w:sz w:val="22"/>
                <w:szCs w:val="22"/>
              </w:rPr>
              <w:t>em Marešem</w:t>
            </w:r>
            <w:r>
              <w:rPr>
                <w:sz w:val="22"/>
                <w:szCs w:val="22"/>
              </w:rPr>
              <w:t xml:space="preserve">, </w:t>
            </w:r>
            <w:r w:rsidR="008C40D5">
              <w:rPr>
                <w:sz w:val="22"/>
                <w:szCs w:val="22"/>
              </w:rPr>
              <w:t xml:space="preserve">Ph.D., </w:t>
            </w:r>
            <w:r w:rsidR="007166C2">
              <w:rPr>
                <w:sz w:val="22"/>
                <w:szCs w:val="22"/>
              </w:rPr>
              <w:t>místostarostou</w:t>
            </w:r>
            <w:r>
              <w:rPr>
                <w:sz w:val="22"/>
                <w:szCs w:val="22"/>
              </w:rPr>
              <w:t xml:space="preserve"> MČ Praha 7</w:t>
            </w:r>
          </w:p>
        </w:tc>
      </w:tr>
      <w:tr w:rsidR="00006A58" w14:paraId="0D17737A" w14:textId="77777777" w:rsidTr="00EF5B8F">
        <w:tc>
          <w:tcPr>
            <w:tcW w:w="2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10D92D8A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IČO</w:t>
            </w:r>
          </w:p>
        </w:tc>
        <w:tc>
          <w:tcPr>
            <w:tcW w:w="6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right w:w="28" w:type="dxa"/>
            </w:tcMar>
          </w:tcPr>
          <w:p w14:paraId="76B4B1D7" w14:textId="77777777" w:rsidR="00006A58" w:rsidRDefault="00B86B41">
            <w:pPr>
              <w:pStyle w:val="Obsahtabulky"/>
              <w:keepNext/>
              <w:spacing w:before="80" w:after="80" w:line="264" w:lineRule="auto"/>
              <w:jc w:val="both"/>
              <w:rPr>
                <w:rFonts w:hint="eastAsia"/>
              </w:rPr>
            </w:pPr>
            <w:r>
              <w:t> </w:t>
            </w:r>
            <w:r>
              <w:rPr>
                <w:sz w:val="22"/>
                <w:szCs w:val="22"/>
              </w:rPr>
              <w:t>00063754</w:t>
            </w:r>
          </w:p>
        </w:tc>
      </w:tr>
      <w:tr w:rsidR="00006A58" w14:paraId="5A4F03A6" w14:textId="77777777" w:rsidTr="00EF5B8F">
        <w:tc>
          <w:tcPr>
            <w:tcW w:w="2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57B5D839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Bankovní spojení</w:t>
            </w:r>
          </w:p>
        </w:tc>
        <w:tc>
          <w:tcPr>
            <w:tcW w:w="6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right w:w="28" w:type="dxa"/>
            </w:tcMar>
          </w:tcPr>
          <w:p w14:paraId="7634F8CB" w14:textId="77777777" w:rsidR="00006A58" w:rsidRDefault="00B86B41" w:rsidP="00FA74CB">
            <w:pPr>
              <w:pStyle w:val="Obsahtabulky"/>
              <w:keepNext/>
              <w:spacing w:before="80" w:after="80" w:line="264" w:lineRule="auto"/>
              <w:ind w:left="40"/>
              <w:jc w:val="both"/>
              <w:rPr>
                <w:rFonts w:hint="eastAsia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Česká spořitelna, a.s. </w:t>
            </w:r>
          </w:p>
          <w:p w14:paraId="693967C6" w14:textId="2EFBB707" w:rsidR="00006A58" w:rsidRDefault="00006A58" w:rsidP="00FA74CB">
            <w:pPr>
              <w:pStyle w:val="Obsahtabulky"/>
              <w:keepNext/>
              <w:spacing w:before="80" w:after="80" w:line="264" w:lineRule="auto"/>
              <w:ind w:left="40"/>
              <w:jc w:val="both"/>
              <w:rPr>
                <w:rFonts w:hint="eastAsia"/>
                <w:color w:val="000000"/>
              </w:rPr>
            </w:pPr>
          </w:p>
        </w:tc>
      </w:tr>
      <w:tr w:rsidR="00006A58" w14:paraId="171A2385" w14:textId="77777777" w:rsidTr="00EF5B8F">
        <w:trPr>
          <w:trHeight w:val="561"/>
        </w:trPr>
        <w:tc>
          <w:tcPr>
            <w:tcW w:w="2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4BE6A6" w14:textId="77777777" w:rsidR="00006A58" w:rsidRDefault="00B86B41">
            <w:pPr>
              <w:pStyle w:val="Obsahtabulky"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Kontaktní údaje</w:t>
            </w:r>
          </w:p>
        </w:tc>
        <w:tc>
          <w:tcPr>
            <w:tcW w:w="6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DC4500" w14:textId="3FDC175D" w:rsidR="00006A58" w:rsidRDefault="00B86B41" w:rsidP="00FA74CB">
            <w:pPr>
              <w:pStyle w:val="Obsahtabulky"/>
              <w:spacing w:before="80" w:after="80" w:line="264" w:lineRule="auto"/>
              <w:ind w:left="4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Telefon: </w:t>
            </w:r>
          </w:p>
          <w:p w14:paraId="334FCA8C" w14:textId="09A952D9" w:rsidR="00006A58" w:rsidRDefault="00B86B41" w:rsidP="00C66FA4">
            <w:pPr>
              <w:pStyle w:val="Obsahtabulky"/>
              <w:spacing w:before="80" w:after="80" w:line="264" w:lineRule="auto"/>
              <w:ind w:left="40"/>
              <w:jc w:val="both"/>
              <w:rPr>
                <w:rFonts w:hint="eastAsia"/>
              </w:rPr>
            </w:pPr>
            <w:r>
              <w:rPr>
                <w:sz w:val="22"/>
              </w:rPr>
              <w:t xml:space="preserve">Email: </w:t>
            </w:r>
          </w:p>
        </w:tc>
      </w:tr>
    </w:tbl>
    <w:p w14:paraId="60D163CE" w14:textId="77777777" w:rsidR="00006A58" w:rsidRDefault="00006A58">
      <w:pPr>
        <w:spacing w:line="264" w:lineRule="auto"/>
        <w:jc w:val="both"/>
        <w:rPr>
          <w:rFonts w:hint="eastAsia"/>
        </w:rPr>
      </w:pPr>
    </w:p>
    <w:p w14:paraId="5BEEC268" w14:textId="456B482A" w:rsidR="00006A58" w:rsidRDefault="00B86B41">
      <w:pPr>
        <w:spacing w:line="264" w:lineRule="auto"/>
        <w:jc w:val="both"/>
        <w:rPr>
          <w:rFonts w:hint="eastAsia"/>
        </w:rPr>
      </w:pPr>
      <w:r>
        <w:t xml:space="preserve">pro potřeby tohoto </w:t>
      </w:r>
      <w:r w:rsidR="00907E03">
        <w:t>D</w:t>
      </w:r>
      <w:r>
        <w:t>odatku</w:t>
      </w:r>
      <w:r w:rsidR="00907E03">
        <w:t xml:space="preserve"> č. 3</w:t>
      </w:r>
      <w:r>
        <w:t xml:space="preserve"> dále též jako „</w:t>
      </w:r>
      <w:r>
        <w:rPr>
          <w:b/>
        </w:rPr>
        <w:t>Správce“</w:t>
      </w:r>
    </w:p>
    <w:p w14:paraId="71A4F12F" w14:textId="77777777" w:rsidR="00006A58" w:rsidRDefault="00006A58">
      <w:pPr>
        <w:spacing w:line="264" w:lineRule="auto"/>
        <w:jc w:val="both"/>
        <w:rPr>
          <w:rFonts w:hint="eastAsia"/>
        </w:rPr>
      </w:pPr>
    </w:p>
    <w:p w14:paraId="5FC59D5F" w14:textId="77777777" w:rsidR="00006A58" w:rsidRDefault="00B86B41">
      <w:pPr>
        <w:pStyle w:val="Nadpis5"/>
        <w:numPr>
          <w:ilvl w:val="4"/>
          <w:numId w:val="2"/>
        </w:numPr>
        <w:spacing w:line="264" w:lineRule="auto"/>
        <w:jc w:val="both"/>
      </w:pPr>
      <w:r>
        <w:t xml:space="preserve">Poskytovatel </w:t>
      </w:r>
    </w:p>
    <w:tbl>
      <w:tblPr>
        <w:tblW w:w="9649" w:type="dxa"/>
        <w:tblInd w:w="-2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28" w:type="dxa"/>
          <w:left w:w="-1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6997"/>
      </w:tblGrid>
      <w:tr w:rsidR="00006A58" w14:paraId="391164AB" w14:textId="77777777" w:rsidTr="00EF5B8F"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B3324BF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Obchodní firma</w:t>
            </w:r>
          </w:p>
        </w:tc>
        <w:tc>
          <w:tcPr>
            <w:tcW w:w="69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right w:w="28" w:type="dxa"/>
            </w:tcMar>
          </w:tcPr>
          <w:p w14:paraId="3415880F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TOM - computer, s. r. o.</w:t>
            </w:r>
          </w:p>
        </w:tc>
      </w:tr>
      <w:tr w:rsidR="00006A58" w14:paraId="3CA4E4AA" w14:textId="77777777" w:rsidTr="00EF5B8F"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6B4FB6F4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Sídlo</w:t>
            </w:r>
          </w:p>
        </w:tc>
        <w:tc>
          <w:tcPr>
            <w:tcW w:w="69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right w:w="28" w:type="dxa"/>
            </w:tcMar>
          </w:tcPr>
          <w:p w14:paraId="6C2AAFBD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Sládkova 476/3, 170 00 Praha 7</w:t>
            </w:r>
          </w:p>
        </w:tc>
      </w:tr>
      <w:tr w:rsidR="00006A58" w14:paraId="63A2C790" w14:textId="77777777" w:rsidTr="00EF5B8F"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1CE5231B" w14:textId="77777777" w:rsidR="00006A58" w:rsidRDefault="00301A56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Z</w:t>
            </w:r>
            <w:r w:rsidR="00B86B41">
              <w:rPr>
                <w:sz w:val="22"/>
              </w:rPr>
              <w:t>astoupena</w:t>
            </w:r>
          </w:p>
        </w:tc>
        <w:tc>
          <w:tcPr>
            <w:tcW w:w="69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right w:w="28" w:type="dxa"/>
            </w:tcMar>
          </w:tcPr>
          <w:p w14:paraId="1D807204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Ing. Tomášem Humlem, jednatelem společnosti</w:t>
            </w:r>
          </w:p>
        </w:tc>
      </w:tr>
      <w:tr w:rsidR="00006A58" w14:paraId="319C4B57" w14:textId="77777777" w:rsidTr="00EF5B8F"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76CEBD6B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IČO</w:t>
            </w:r>
          </w:p>
        </w:tc>
        <w:tc>
          <w:tcPr>
            <w:tcW w:w="69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right w:w="28" w:type="dxa"/>
            </w:tcMar>
          </w:tcPr>
          <w:p w14:paraId="7445B777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60465832</w:t>
            </w:r>
          </w:p>
        </w:tc>
      </w:tr>
      <w:tr w:rsidR="00006A58" w14:paraId="7A8FA1DE" w14:textId="77777777" w:rsidTr="00EF5B8F"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54030CDD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DIČ</w:t>
            </w:r>
          </w:p>
        </w:tc>
        <w:tc>
          <w:tcPr>
            <w:tcW w:w="69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right w:w="28" w:type="dxa"/>
            </w:tcMar>
          </w:tcPr>
          <w:p w14:paraId="14116656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CZ60465832</w:t>
            </w:r>
          </w:p>
        </w:tc>
      </w:tr>
      <w:tr w:rsidR="00006A58" w14:paraId="3202B8C4" w14:textId="77777777" w:rsidTr="00EF5B8F"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7341BD6D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Bankovní spojení</w:t>
            </w:r>
          </w:p>
        </w:tc>
        <w:tc>
          <w:tcPr>
            <w:tcW w:w="69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right w:w="28" w:type="dxa"/>
            </w:tcMar>
          </w:tcPr>
          <w:p w14:paraId="3C0D017F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Československá obchodní banka, a.s.</w:t>
            </w:r>
          </w:p>
          <w:p w14:paraId="59FF4B90" w14:textId="79791E07" w:rsidR="00006A58" w:rsidRDefault="00006A58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</w:p>
        </w:tc>
      </w:tr>
      <w:tr w:rsidR="00006A58" w14:paraId="4B7F688C" w14:textId="77777777" w:rsidTr="00EF5B8F">
        <w:tc>
          <w:tcPr>
            <w:tcW w:w="964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2D770ECC" w14:textId="77777777" w:rsidR="00006A58" w:rsidRDefault="00B86B41">
            <w:pPr>
              <w:pStyle w:val="Obsahtabulky"/>
              <w:spacing w:before="80" w:after="80" w:line="264" w:lineRule="auto"/>
              <w:ind w:left="170"/>
              <w:jc w:val="both"/>
              <w:rPr>
                <w:rFonts w:hint="eastAsia"/>
              </w:rPr>
            </w:pPr>
            <w:r>
              <w:rPr>
                <w:sz w:val="22"/>
              </w:rPr>
              <w:t xml:space="preserve">Zapsaná v obchodním rejstříku Městským soudem v Praze, spis. zn.: C 26737 </w:t>
            </w:r>
          </w:p>
        </w:tc>
      </w:tr>
      <w:tr w:rsidR="00006A58" w14:paraId="499EB8D0" w14:textId="77777777" w:rsidTr="00EF5B8F">
        <w:tc>
          <w:tcPr>
            <w:tcW w:w="26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</w:tcMar>
          </w:tcPr>
          <w:p w14:paraId="71DAA4CA" w14:textId="77777777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>Kontaktní údaje</w:t>
            </w:r>
          </w:p>
        </w:tc>
        <w:tc>
          <w:tcPr>
            <w:tcW w:w="69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right w:w="28" w:type="dxa"/>
            </w:tcMar>
          </w:tcPr>
          <w:p w14:paraId="6BF0C2BB" w14:textId="3681EB2E" w:rsidR="00006A58" w:rsidRDefault="00B86B41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Telefon: </w:t>
            </w:r>
          </w:p>
          <w:p w14:paraId="0E6B68C3" w14:textId="31280846" w:rsidR="00006A58" w:rsidRDefault="00B86B41" w:rsidP="00C66FA4">
            <w:pPr>
              <w:pStyle w:val="Obsahtabulky"/>
              <w:keepNext/>
              <w:spacing w:before="80" w:after="80" w:line="264" w:lineRule="auto"/>
              <w:ind w:left="170"/>
              <w:jc w:val="both"/>
              <w:rPr>
                <w:rFonts w:hint="eastAsia"/>
              </w:rPr>
            </w:pPr>
            <w:r>
              <w:rPr>
                <w:sz w:val="22"/>
              </w:rPr>
              <w:t xml:space="preserve">Email: </w:t>
            </w:r>
          </w:p>
        </w:tc>
      </w:tr>
    </w:tbl>
    <w:p w14:paraId="6924D156" w14:textId="77777777" w:rsidR="00006A58" w:rsidRDefault="00006A58">
      <w:pPr>
        <w:spacing w:line="264" w:lineRule="auto"/>
        <w:jc w:val="both"/>
        <w:rPr>
          <w:rFonts w:hint="eastAsia"/>
        </w:rPr>
      </w:pPr>
    </w:p>
    <w:p w14:paraId="447FBEE9" w14:textId="4D0E53A6" w:rsidR="00006A58" w:rsidRDefault="00907E03">
      <w:pPr>
        <w:spacing w:line="264" w:lineRule="auto"/>
        <w:jc w:val="both"/>
        <w:rPr>
          <w:rFonts w:hint="eastAsia"/>
        </w:rPr>
      </w:pPr>
      <w:r>
        <w:t>pro potřeby tohoto D</w:t>
      </w:r>
      <w:r w:rsidR="00B86B41">
        <w:t>odatku</w:t>
      </w:r>
      <w:r>
        <w:t xml:space="preserve"> č. 3</w:t>
      </w:r>
      <w:r w:rsidR="00B86B41">
        <w:t xml:space="preserve"> dále též jako „</w:t>
      </w:r>
      <w:r w:rsidR="00B86B41">
        <w:rPr>
          <w:b/>
        </w:rPr>
        <w:t>Zpracovatel“</w:t>
      </w:r>
    </w:p>
    <w:p w14:paraId="29BA0E75" w14:textId="77777777" w:rsidR="004D11B2" w:rsidRDefault="004D11B2">
      <w:pPr>
        <w:spacing w:line="264" w:lineRule="auto"/>
        <w:jc w:val="both"/>
        <w:rPr>
          <w:rFonts w:hint="eastAsia"/>
        </w:rPr>
      </w:pPr>
    </w:p>
    <w:p w14:paraId="52AED60D" w14:textId="77777777" w:rsidR="009B571D" w:rsidRDefault="009B571D" w:rsidP="006A2E37">
      <w:pPr>
        <w:pStyle w:val="Zkladntext2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8568339" w14:textId="49F4D4A8" w:rsidR="009B571D" w:rsidRDefault="009B571D" w:rsidP="006A2E37">
      <w:pPr>
        <w:pStyle w:val="Zkladntext2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------------------------------------------------------------------------------------------------------------------------</w:t>
      </w:r>
    </w:p>
    <w:p w14:paraId="294D77F1" w14:textId="5830A1E1" w:rsidR="009B571D" w:rsidRPr="00224CEB" w:rsidRDefault="00F22BF6" w:rsidP="009B571D">
      <w:pPr>
        <w:pStyle w:val="Zkladntext2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Tento </w:t>
      </w:r>
      <w:r w:rsidR="00D00B55" w:rsidRPr="003D50E1">
        <w:rPr>
          <w:rFonts w:ascii="Times New Roman" w:hAnsi="Times New Roman" w:cs="Times New Roman"/>
          <w:sz w:val="24"/>
        </w:rPr>
        <w:t>Dodatek č. 3</w:t>
      </w:r>
      <w:r w:rsidR="009B571D" w:rsidRPr="003D50E1">
        <w:rPr>
          <w:rFonts w:ascii="Times New Roman" w:hAnsi="Times New Roman" w:cs="Times New Roman"/>
          <w:sz w:val="24"/>
        </w:rPr>
        <w:t xml:space="preserve"> ke Smlouvě č. 2016/IOIVZ/065 je uzavřen na základě rozhodnutí Rady MČ Praha 7 č. usnesení </w:t>
      </w:r>
      <w:r w:rsidR="003D50E1" w:rsidRPr="003D50E1">
        <w:rPr>
          <w:rFonts w:ascii="Times New Roman" w:hAnsi="Times New Roman" w:cs="Times New Roman"/>
          <w:sz w:val="24"/>
        </w:rPr>
        <w:t>0199</w:t>
      </w:r>
      <w:r w:rsidR="00907E03" w:rsidRPr="003D50E1">
        <w:rPr>
          <w:rFonts w:ascii="Times New Roman" w:hAnsi="Times New Roman" w:cs="Times New Roman"/>
          <w:sz w:val="24"/>
        </w:rPr>
        <w:t>/23</w:t>
      </w:r>
      <w:r w:rsidR="009B571D" w:rsidRPr="003D50E1">
        <w:rPr>
          <w:rFonts w:ascii="Times New Roman" w:hAnsi="Times New Roman" w:cs="Times New Roman"/>
          <w:sz w:val="24"/>
        </w:rPr>
        <w:t xml:space="preserve">-R z jednání č. </w:t>
      </w:r>
      <w:r w:rsidR="003D50E1" w:rsidRPr="003D50E1">
        <w:rPr>
          <w:rFonts w:ascii="Times New Roman" w:hAnsi="Times New Roman" w:cs="Times New Roman"/>
          <w:sz w:val="24"/>
        </w:rPr>
        <w:t xml:space="preserve">13 </w:t>
      </w:r>
      <w:r w:rsidR="009B571D" w:rsidRPr="003D50E1">
        <w:rPr>
          <w:rFonts w:ascii="Times New Roman" w:hAnsi="Times New Roman" w:cs="Times New Roman"/>
          <w:sz w:val="24"/>
        </w:rPr>
        <w:t xml:space="preserve">ze dne </w:t>
      </w:r>
      <w:r w:rsidR="003D50E1" w:rsidRPr="003D50E1">
        <w:rPr>
          <w:rFonts w:ascii="Times New Roman" w:hAnsi="Times New Roman" w:cs="Times New Roman"/>
          <w:sz w:val="24"/>
        </w:rPr>
        <w:t xml:space="preserve">28. 3. </w:t>
      </w:r>
      <w:r w:rsidRPr="003D50E1">
        <w:rPr>
          <w:rFonts w:ascii="Times New Roman" w:hAnsi="Times New Roman" w:cs="Times New Roman"/>
          <w:sz w:val="24"/>
        </w:rPr>
        <w:t>202</w:t>
      </w:r>
      <w:r w:rsidR="00EF5319" w:rsidRPr="003D50E1">
        <w:rPr>
          <w:rFonts w:ascii="Times New Roman" w:hAnsi="Times New Roman" w:cs="Times New Roman"/>
          <w:sz w:val="24"/>
        </w:rPr>
        <w:t>3</w:t>
      </w:r>
      <w:r w:rsidR="009B571D" w:rsidRPr="003D50E1">
        <w:rPr>
          <w:rFonts w:ascii="Times New Roman" w:hAnsi="Times New Roman" w:cs="Times New Roman"/>
          <w:sz w:val="24"/>
        </w:rPr>
        <w:t>.</w:t>
      </w:r>
      <w:r w:rsidR="009B571D" w:rsidRPr="009B571D">
        <w:rPr>
          <w:rFonts w:ascii="Times New Roman" w:hAnsi="Times New Roman" w:cs="Times New Roman"/>
          <w:sz w:val="24"/>
        </w:rPr>
        <w:t xml:space="preserve"> </w:t>
      </w:r>
    </w:p>
    <w:p w14:paraId="508F1EA7" w14:textId="1D97BC8B" w:rsidR="009B571D" w:rsidRPr="009B571D" w:rsidRDefault="009B571D" w:rsidP="009B571D">
      <w:pPr>
        <w:pStyle w:val="Zkladntext2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</w:t>
      </w:r>
    </w:p>
    <w:p w14:paraId="226D262E" w14:textId="77777777" w:rsidR="00D00B55" w:rsidRDefault="00D00B55" w:rsidP="006A2E37">
      <w:pPr>
        <w:pStyle w:val="Zkladntext2"/>
        <w:spacing w:line="240" w:lineRule="auto"/>
        <w:jc w:val="both"/>
        <w:rPr>
          <w:rFonts w:ascii="Liberation Serif" w:hAnsi="Liberation Serif" w:cs="Liberation Serif"/>
          <w:sz w:val="24"/>
        </w:rPr>
      </w:pPr>
    </w:p>
    <w:p w14:paraId="5D217029" w14:textId="565C9566" w:rsidR="00AD60F2" w:rsidRDefault="006A2E37" w:rsidP="006A2E37">
      <w:pPr>
        <w:pStyle w:val="Zkladntext2"/>
        <w:spacing w:line="240" w:lineRule="auto"/>
        <w:jc w:val="both"/>
        <w:rPr>
          <w:rFonts w:ascii="Liberation Serif" w:hAnsi="Liberation Serif" w:cs="Liberation Serif"/>
          <w:sz w:val="24"/>
        </w:rPr>
      </w:pPr>
      <w:r w:rsidRPr="00810AD5">
        <w:rPr>
          <w:rFonts w:ascii="Liberation Serif" w:hAnsi="Liberation Serif" w:cs="Liberation Serif"/>
          <w:sz w:val="24"/>
        </w:rPr>
        <w:t xml:space="preserve">Smluvní strany se v souladu s čl. </w:t>
      </w:r>
      <w:r w:rsidR="004D11B2" w:rsidRPr="00810AD5">
        <w:rPr>
          <w:rFonts w:ascii="Liberation Serif" w:hAnsi="Liberation Serif" w:cs="Liberation Serif"/>
          <w:sz w:val="24"/>
        </w:rPr>
        <w:t>VII</w:t>
      </w:r>
      <w:r w:rsidRPr="00810AD5">
        <w:rPr>
          <w:rFonts w:ascii="Liberation Serif" w:hAnsi="Liberation Serif" w:cs="Liberation Serif"/>
          <w:sz w:val="24"/>
        </w:rPr>
        <w:t xml:space="preserve">. odst. </w:t>
      </w:r>
      <w:r w:rsidR="004D11B2" w:rsidRPr="00810AD5">
        <w:rPr>
          <w:rFonts w:ascii="Liberation Serif" w:hAnsi="Liberation Serif" w:cs="Liberation Serif"/>
          <w:sz w:val="24"/>
        </w:rPr>
        <w:t>6</w:t>
      </w:r>
      <w:r w:rsidRPr="00810AD5">
        <w:rPr>
          <w:rFonts w:ascii="Liberation Serif" w:hAnsi="Liberation Serif" w:cs="Liberation Serif"/>
          <w:sz w:val="24"/>
        </w:rPr>
        <w:t xml:space="preserve"> S</w:t>
      </w:r>
      <w:r w:rsidRPr="00810AD5">
        <w:rPr>
          <w:rFonts w:ascii="Liberation Serif" w:hAnsi="Liberation Serif" w:cs="Liberation Serif"/>
          <w:sz w:val="24"/>
          <w:lang w:eastAsia="cs-CZ"/>
        </w:rPr>
        <w:t>mlouvy o</w:t>
      </w:r>
      <w:r w:rsidR="004D11B2" w:rsidRPr="00810AD5">
        <w:rPr>
          <w:rFonts w:ascii="Liberation Serif" w:hAnsi="Liberation Serif" w:cs="Liberation Serif"/>
          <w:sz w:val="24"/>
          <w:lang w:eastAsia="cs-CZ"/>
        </w:rPr>
        <w:t xml:space="preserve"> provozování software iDES č.2016/OIVZ/065, která byla uzavřena dne 27. 12. 2016</w:t>
      </w:r>
      <w:r w:rsidR="0005262B">
        <w:rPr>
          <w:rFonts w:ascii="Liberation Serif" w:hAnsi="Liberation Serif" w:cs="Liberation Serif"/>
          <w:sz w:val="24"/>
          <w:lang w:eastAsia="cs-CZ"/>
        </w:rPr>
        <w:t>,</w:t>
      </w:r>
      <w:r w:rsidRPr="00810AD5">
        <w:rPr>
          <w:rFonts w:ascii="Liberation Serif" w:hAnsi="Liberation Serif" w:cs="Liberation Serif"/>
          <w:sz w:val="24"/>
        </w:rPr>
        <w:t xml:space="preserve"> </w:t>
      </w:r>
      <w:r w:rsidR="0005262B">
        <w:rPr>
          <w:rFonts w:ascii="Liberation Serif" w:hAnsi="Liberation Serif" w:cs="Liberation Serif"/>
          <w:sz w:val="24"/>
        </w:rPr>
        <w:t>na základě usnesení</w:t>
      </w:r>
      <w:r w:rsidRPr="00810AD5">
        <w:rPr>
          <w:rFonts w:ascii="Liberation Serif" w:hAnsi="Liberation Serif" w:cs="Liberation Serif"/>
          <w:sz w:val="24"/>
        </w:rPr>
        <w:t xml:space="preserve"> Rady MČ </w:t>
      </w:r>
      <w:r w:rsidR="00907E03">
        <w:rPr>
          <w:rFonts w:ascii="Liberation Serif" w:hAnsi="Liberation Serif" w:cs="Liberation Serif"/>
          <w:sz w:val="24"/>
        </w:rPr>
        <w:br/>
        <w:t xml:space="preserve">Praha 7 </w:t>
      </w:r>
      <w:r w:rsidR="004D11B2" w:rsidRPr="00810AD5">
        <w:rPr>
          <w:rFonts w:ascii="Liberation Serif" w:hAnsi="Liberation Serif" w:cs="Liberation Serif"/>
          <w:sz w:val="24"/>
        </w:rPr>
        <w:t>č. 1305/16-R z jednání č. 81 ze dne 20. 12. 2016</w:t>
      </w:r>
      <w:r w:rsidR="0005262B">
        <w:rPr>
          <w:rFonts w:ascii="Liberation Serif" w:hAnsi="Liberation Serif" w:cs="Liberation Serif"/>
          <w:sz w:val="24"/>
        </w:rPr>
        <w:t>,</w:t>
      </w:r>
      <w:r w:rsidR="004D11B2" w:rsidRPr="00810AD5">
        <w:rPr>
          <w:rFonts w:ascii="Liberation Serif" w:hAnsi="Liberation Serif" w:cs="Liberation Serif"/>
          <w:sz w:val="24"/>
        </w:rPr>
        <w:t xml:space="preserve"> ve znění Dodatku č. 1 uzavřeného </w:t>
      </w:r>
      <w:r w:rsidR="00907E03">
        <w:rPr>
          <w:rFonts w:ascii="Liberation Serif" w:hAnsi="Liberation Serif" w:cs="Liberation Serif"/>
          <w:sz w:val="24"/>
        </w:rPr>
        <w:br/>
      </w:r>
      <w:r w:rsidR="004D11B2" w:rsidRPr="00810AD5">
        <w:rPr>
          <w:rFonts w:ascii="Liberation Serif" w:hAnsi="Liberation Serif" w:cs="Liberation Serif"/>
          <w:sz w:val="24"/>
        </w:rPr>
        <w:t xml:space="preserve">dne 22. 5. 2017 na základě rozhodnutí Rady MČ Praha 7 č. usnesení 0451/17-R z jednání č. 33 ze dne 16. 5. 2017 </w:t>
      </w:r>
      <w:r w:rsidR="00D00B55">
        <w:rPr>
          <w:rFonts w:ascii="Liberation Serif" w:hAnsi="Liberation Serif" w:cs="Liberation Serif"/>
          <w:sz w:val="24"/>
        </w:rPr>
        <w:t xml:space="preserve">a Dodatku č. </w:t>
      </w:r>
      <w:r w:rsidR="0005262B">
        <w:rPr>
          <w:rFonts w:ascii="Liberation Serif" w:hAnsi="Liberation Serif" w:cs="Liberation Serif"/>
          <w:sz w:val="24"/>
        </w:rPr>
        <w:t>2</w:t>
      </w:r>
      <w:r w:rsidR="00D00B55">
        <w:rPr>
          <w:rFonts w:ascii="Liberation Serif" w:hAnsi="Liberation Serif" w:cs="Liberation Serif"/>
          <w:sz w:val="24"/>
        </w:rPr>
        <w:t xml:space="preserve"> ze dne </w:t>
      </w:r>
      <w:r w:rsidR="00D00B55" w:rsidRPr="00810AD5">
        <w:rPr>
          <w:rFonts w:ascii="Liberation Serif" w:hAnsi="Liberation Serif" w:cs="Liberation Serif"/>
          <w:sz w:val="24"/>
        </w:rPr>
        <w:t>14</w:t>
      </w:r>
      <w:r w:rsidR="00D00B55">
        <w:rPr>
          <w:rFonts w:ascii="Liberation Serif" w:hAnsi="Liberation Serif" w:cs="Liberation Serif"/>
          <w:sz w:val="24"/>
        </w:rPr>
        <w:t xml:space="preserve">. 4. 2020 schváleného na základě usnesení </w:t>
      </w:r>
      <w:r w:rsidR="00D00B55" w:rsidRPr="0049099C">
        <w:rPr>
          <w:rFonts w:ascii="Times New Roman" w:hAnsi="Times New Roman" w:cs="Times New Roman"/>
          <w:sz w:val="24"/>
        </w:rPr>
        <w:t>0221/20-R z jednání č. 19 ze dne 7. 4. 2020</w:t>
      </w:r>
      <w:r w:rsidR="00D00B55">
        <w:rPr>
          <w:rFonts w:ascii="Times New Roman" w:hAnsi="Times New Roman" w:cs="Times New Roman"/>
          <w:sz w:val="24"/>
        </w:rPr>
        <w:t xml:space="preserve"> </w:t>
      </w:r>
      <w:r w:rsidR="0005262B" w:rsidRPr="00810AD5">
        <w:rPr>
          <w:rFonts w:ascii="Liberation Serif" w:hAnsi="Liberation Serif" w:cs="Liberation Serif"/>
          <w:sz w:val="24"/>
        </w:rPr>
        <w:t>(</w:t>
      </w:r>
      <w:r w:rsidR="0005262B" w:rsidRPr="007F56E9">
        <w:rPr>
          <w:rFonts w:ascii="Liberation Serif" w:hAnsi="Liberation Serif" w:cs="Liberation Serif"/>
          <w:b/>
          <w:sz w:val="24"/>
        </w:rPr>
        <w:t>dále jen „Smlouva“</w:t>
      </w:r>
      <w:r w:rsidR="0005262B" w:rsidRPr="00810AD5">
        <w:rPr>
          <w:rFonts w:ascii="Liberation Serif" w:hAnsi="Liberation Serif" w:cs="Liberation Serif"/>
          <w:sz w:val="24"/>
        </w:rPr>
        <w:t>)</w:t>
      </w:r>
      <w:r w:rsidR="0005262B">
        <w:rPr>
          <w:rFonts w:ascii="Liberation Serif" w:hAnsi="Liberation Serif" w:cs="Liberation Serif"/>
          <w:sz w:val="24"/>
        </w:rPr>
        <w:t xml:space="preserve"> </w:t>
      </w:r>
      <w:r w:rsidRPr="00810AD5">
        <w:rPr>
          <w:rFonts w:ascii="Liberation Serif" w:hAnsi="Liberation Serif" w:cs="Liberation Serif"/>
          <w:sz w:val="24"/>
        </w:rPr>
        <w:t xml:space="preserve">dohodly na uzavření tohoto </w:t>
      </w:r>
      <w:r w:rsidRPr="00D00B55">
        <w:rPr>
          <w:rFonts w:ascii="Liberation Serif" w:hAnsi="Liberation Serif" w:cs="Liberation Serif"/>
          <w:sz w:val="24"/>
        </w:rPr>
        <w:t xml:space="preserve">Dodatku č. </w:t>
      </w:r>
      <w:r w:rsidR="00D00B55" w:rsidRPr="00D00B55">
        <w:rPr>
          <w:rFonts w:ascii="Liberation Serif" w:hAnsi="Liberation Serif" w:cs="Liberation Serif"/>
          <w:sz w:val="24"/>
        </w:rPr>
        <w:t>3</w:t>
      </w:r>
      <w:r w:rsidR="004D11B2" w:rsidRPr="00D00B55">
        <w:rPr>
          <w:rFonts w:ascii="Liberation Serif" w:hAnsi="Liberation Serif" w:cs="Liberation Serif"/>
          <w:sz w:val="24"/>
        </w:rPr>
        <w:t>, který</w:t>
      </w:r>
      <w:r w:rsidR="0005262B">
        <w:rPr>
          <w:rFonts w:ascii="Liberation Serif" w:hAnsi="Liberation Serif" w:cs="Liberation Serif"/>
          <w:sz w:val="24"/>
        </w:rPr>
        <w:t>m</w:t>
      </w:r>
      <w:r w:rsidR="004D11B2" w:rsidRPr="00D00B55">
        <w:rPr>
          <w:rFonts w:ascii="Liberation Serif" w:hAnsi="Liberation Serif" w:cs="Liberation Serif"/>
          <w:sz w:val="24"/>
        </w:rPr>
        <w:t xml:space="preserve"> se</w:t>
      </w:r>
      <w:r w:rsidRPr="00D00B55">
        <w:rPr>
          <w:rFonts w:ascii="Liberation Serif" w:hAnsi="Liberation Serif" w:cs="Liberation Serif"/>
          <w:sz w:val="24"/>
        </w:rPr>
        <w:t xml:space="preserve"> </w:t>
      </w:r>
      <w:r w:rsidR="00057709">
        <w:rPr>
          <w:rFonts w:ascii="Liberation Serif" w:hAnsi="Liberation Serif" w:cs="Liberation Serif"/>
          <w:sz w:val="24"/>
        </w:rPr>
        <w:t xml:space="preserve">mění </w:t>
      </w:r>
      <w:r w:rsidRPr="00D00B55">
        <w:rPr>
          <w:rFonts w:ascii="Liberation Serif" w:hAnsi="Liberation Serif" w:cs="Liberation Serif"/>
          <w:sz w:val="24"/>
        </w:rPr>
        <w:t>cen</w:t>
      </w:r>
      <w:r w:rsidR="00B957C9" w:rsidRPr="00D00B55">
        <w:rPr>
          <w:rFonts w:ascii="Liberation Serif" w:hAnsi="Liberation Serif" w:cs="Liberation Serif"/>
          <w:sz w:val="24"/>
        </w:rPr>
        <w:t>a plnění</w:t>
      </w:r>
      <w:r w:rsidR="00301A56" w:rsidRPr="00D00B55">
        <w:rPr>
          <w:rFonts w:ascii="Liberation Serif" w:hAnsi="Liberation Serif" w:cs="Liberation Serif"/>
          <w:sz w:val="24"/>
        </w:rPr>
        <w:t xml:space="preserve"> (dále jen „</w:t>
      </w:r>
      <w:r w:rsidR="00D00B55" w:rsidRPr="00D00B55">
        <w:rPr>
          <w:rFonts w:ascii="Liberation Serif" w:hAnsi="Liberation Serif" w:cs="Liberation Serif"/>
          <w:sz w:val="24"/>
        </w:rPr>
        <w:t>Dodatek č. 3</w:t>
      </w:r>
      <w:r w:rsidR="00301A56" w:rsidRPr="00D00B55">
        <w:rPr>
          <w:rFonts w:ascii="Liberation Serif" w:hAnsi="Liberation Serif" w:cs="Liberation Serif"/>
          <w:sz w:val="24"/>
        </w:rPr>
        <w:t>“)</w:t>
      </w:r>
      <w:r w:rsidR="0005262B">
        <w:rPr>
          <w:rFonts w:ascii="Liberation Serif" w:hAnsi="Liberation Serif" w:cs="Liberation Serif"/>
          <w:sz w:val="24"/>
        </w:rPr>
        <w:t>.</w:t>
      </w:r>
      <w:r w:rsidR="00057709">
        <w:rPr>
          <w:rFonts w:ascii="Liberation Serif" w:hAnsi="Liberation Serif" w:cs="Liberation Serif"/>
          <w:sz w:val="24"/>
        </w:rPr>
        <w:t xml:space="preserve"> </w:t>
      </w:r>
      <w:r w:rsidR="00AD60F2">
        <w:rPr>
          <w:rFonts w:ascii="Liberation Serif" w:hAnsi="Liberation Serif" w:cs="Liberation Serif"/>
          <w:sz w:val="24"/>
        </w:rPr>
        <w:t>Smluvní strany dále konstatují, že Smlouva byla uzavřena jako veřejná zakázka malého rozsahu mimo režim zákona č. 134/2016 Sb., o zadávání veřejný zakázek.</w:t>
      </w:r>
    </w:p>
    <w:p w14:paraId="7DD88AB4" w14:textId="77777777" w:rsidR="0005262B" w:rsidRPr="0005262B" w:rsidRDefault="0005262B" w:rsidP="0005262B">
      <w:pPr>
        <w:pStyle w:val="Zkladntext2"/>
        <w:spacing w:line="240" w:lineRule="auto"/>
        <w:jc w:val="center"/>
        <w:rPr>
          <w:rFonts w:ascii="Liberation Serif" w:hAnsi="Liberation Serif" w:cs="Liberation Serif"/>
          <w:sz w:val="24"/>
        </w:rPr>
      </w:pPr>
    </w:p>
    <w:p w14:paraId="08EA5A63" w14:textId="2C62F653" w:rsidR="0005262B" w:rsidRPr="00907E03" w:rsidRDefault="0005262B" w:rsidP="00907E03">
      <w:pPr>
        <w:pStyle w:val="Zkladntext2"/>
        <w:numPr>
          <w:ilvl w:val="0"/>
          <w:numId w:val="17"/>
        </w:numPr>
        <w:spacing w:line="240" w:lineRule="auto"/>
        <w:jc w:val="center"/>
        <w:rPr>
          <w:rFonts w:ascii="Liberation Serif" w:hAnsi="Liberation Serif" w:cs="Liberation Serif"/>
          <w:b/>
          <w:sz w:val="24"/>
        </w:rPr>
      </w:pPr>
      <w:r w:rsidRPr="0005262B">
        <w:rPr>
          <w:rFonts w:ascii="Liberation Serif" w:hAnsi="Liberation Serif" w:cs="Liberation Serif"/>
          <w:b/>
          <w:sz w:val="24"/>
        </w:rPr>
        <w:t>Předmět Dodatku č. 3</w:t>
      </w:r>
    </w:p>
    <w:p w14:paraId="0C3B3148" w14:textId="5A451192" w:rsidR="00F218EE" w:rsidRDefault="00473CAB" w:rsidP="00085389">
      <w:pPr>
        <w:pStyle w:val="Zkladntext2"/>
        <w:numPr>
          <w:ilvl w:val="0"/>
          <w:numId w:val="16"/>
        </w:numPr>
        <w:spacing w:line="240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V návaznosti na požadavek P</w:t>
      </w:r>
      <w:r w:rsidR="00D00B55" w:rsidRPr="00D00B55">
        <w:rPr>
          <w:rFonts w:ascii="Liberation Serif" w:hAnsi="Liberation Serif" w:cs="Liberation Serif"/>
          <w:sz w:val="24"/>
        </w:rPr>
        <w:t xml:space="preserve">oskytovatele, ze dne </w:t>
      </w:r>
      <w:r w:rsidR="00C35656">
        <w:rPr>
          <w:rFonts w:ascii="Liberation Serif" w:hAnsi="Liberation Serif" w:cs="Liberation Serif"/>
          <w:sz w:val="24"/>
        </w:rPr>
        <w:t>21. 3. 2023</w:t>
      </w:r>
      <w:r w:rsidR="00D00B55">
        <w:rPr>
          <w:rFonts w:ascii="Liberation Serif" w:hAnsi="Liberation Serif" w:cs="Liberation Serif"/>
          <w:sz w:val="24"/>
        </w:rPr>
        <w:t xml:space="preserve"> </w:t>
      </w:r>
      <w:r w:rsidR="00AD60F2">
        <w:rPr>
          <w:rFonts w:ascii="Liberation Serif" w:hAnsi="Liberation Serif" w:cs="Liberation Serif"/>
          <w:sz w:val="24"/>
        </w:rPr>
        <w:t xml:space="preserve">(příloha č. 1 tohoto Dodatku č. 3) </w:t>
      </w:r>
      <w:r w:rsidR="00D00B55">
        <w:rPr>
          <w:rFonts w:ascii="Liberation Serif" w:hAnsi="Liberation Serif" w:cs="Liberation Serif"/>
          <w:sz w:val="24"/>
        </w:rPr>
        <w:t xml:space="preserve">dochází tímto Dodatkem č. 3 </w:t>
      </w:r>
      <w:r w:rsidR="0005262B">
        <w:rPr>
          <w:rFonts w:ascii="Liberation Serif" w:hAnsi="Liberation Serif" w:cs="Liberation Serif"/>
          <w:sz w:val="24"/>
        </w:rPr>
        <w:t>z důvodu objektivně pozorovatelného nárůstu hladiny</w:t>
      </w:r>
      <w:r w:rsidR="00D00B55">
        <w:rPr>
          <w:rFonts w:ascii="Liberation Serif" w:hAnsi="Liberation Serif" w:cs="Liberation Serif"/>
          <w:sz w:val="24"/>
        </w:rPr>
        <w:t xml:space="preserve"> inflace k navýšení </w:t>
      </w:r>
      <w:r w:rsidR="004B566F">
        <w:rPr>
          <w:rFonts w:ascii="Liberation Serif" w:hAnsi="Liberation Serif" w:cs="Liberation Serif"/>
          <w:sz w:val="24"/>
        </w:rPr>
        <w:t xml:space="preserve">pravidelných paušálních plateb na 28 851 Kč bez DPH/ za měsíc. </w:t>
      </w:r>
      <w:r w:rsidR="004B566F" w:rsidRPr="00085389">
        <w:rPr>
          <w:rFonts w:ascii="Liberation Serif" w:hAnsi="Liberation Serif" w:cs="Liberation Serif"/>
          <w:sz w:val="24"/>
        </w:rPr>
        <w:t xml:space="preserve">Navýšení dle tohoto Dodatku č. 3 odpovídá </w:t>
      </w:r>
      <w:r w:rsidR="00F218EE">
        <w:rPr>
          <w:rFonts w:ascii="Liberation Serif" w:hAnsi="Liberation Serif" w:cs="Liberation Serif"/>
          <w:sz w:val="24"/>
        </w:rPr>
        <w:t xml:space="preserve">nárůstu </w:t>
      </w:r>
      <w:r w:rsidR="00085389">
        <w:rPr>
          <w:rFonts w:ascii="Liberation Serif" w:hAnsi="Liberation Serif" w:cs="Liberation Serif"/>
          <w:sz w:val="24"/>
        </w:rPr>
        <w:t xml:space="preserve">pravidelných paušálních plateb </w:t>
      </w:r>
      <w:r w:rsidR="004B566F" w:rsidRPr="00085389">
        <w:rPr>
          <w:rFonts w:ascii="Liberation Serif" w:hAnsi="Liberation Serif" w:cs="Liberation Serif"/>
          <w:sz w:val="24"/>
        </w:rPr>
        <w:t>ve výši</w:t>
      </w:r>
      <w:r w:rsidR="00320A23" w:rsidRPr="00085389">
        <w:rPr>
          <w:rFonts w:ascii="Liberation Serif" w:hAnsi="Liberation Serif" w:cs="Liberation Serif"/>
          <w:sz w:val="24"/>
        </w:rPr>
        <w:t xml:space="preserve"> </w:t>
      </w:r>
      <w:r w:rsidR="004B566F" w:rsidRPr="00085389">
        <w:rPr>
          <w:rFonts w:ascii="Liberation Serif" w:hAnsi="Liberation Serif" w:cs="Liberation Serif" w:hint="eastAsia"/>
          <w:sz w:val="24"/>
        </w:rPr>
        <w:t>72</w:t>
      </w:r>
      <w:r w:rsidR="004B566F" w:rsidRPr="00085389">
        <w:rPr>
          <w:rFonts w:ascii="Liberation Serif" w:hAnsi="Liberation Serif" w:cs="Liberation Serif"/>
          <w:sz w:val="24"/>
        </w:rPr>
        <w:t> </w:t>
      </w:r>
      <w:r w:rsidR="004B566F" w:rsidRPr="00085389">
        <w:rPr>
          <w:rFonts w:ascii="Liberation Serif" w:hAnsi="Liberation Serif" w:cs="Liberation Serif" w:hint="eastAsia"/>
          <w:sz w:val="24"/>
        </w:rPr>
        <w:t>252</w:t>
      </w:r>
      <w:r w:rsidR="004B566F" w:rsidRPr="00085389">
        <w:rPr>
          <w:rFonts w:ascii="Liberation Serif" w:hAnsi="Liberation Serif" w:cs="Liberation Serif"/>
          <w:sz w:val="24"/>
        </w:rPr>
        <w:t xml:space="preserve"> </w:t>
      </w:r>
      <w:r w:rsidR="00320A23" w:rsidRPr="00085389">
        <w:rPr>
          <w:rFonts w:ascii="Liberation Serif" w:hAnsi="Liberation Serif" w:cs="Liberation Serif"/>
          <w:sz w:val="24"/>
        </w:rPr>
        <w:t>Kč bez DPH/ za rok plnění</w:t>
      </w:r>
      <w:r w:rsidR="004B566F" w:rsidRPr="00085389">
        <w:rPr>
          <w:rFonts w:ascii="Liberation Serif" w:hAnsi="Liberation Serif" w:cs="Liberation Serif"/>
          <w:sz w:val="24"/>
        </w:rPr>
        <w:t xml:space="preserve"> oproti Dodatku č. 2</w:t>
      </w:r>
      <w:r w:rsidR="00085389">
        <w:rPr>
          <w:rFonts w:ascii="Liberation Serif" w:hAnsi="Liberation Serif" w:cs="Liberation Serif"/>
          <w:sz w:val="24"/>
        </w:rPr>
        <w:t xml:space="preserve"> a </w:t>
      </w:r>
      <w:r w:rsidR="00F218EE">
        <w:rPr>
          <w:rFonts w:ascii="Liberation Serif" w:hAnsi="Liberation Serif" w:cs="Liberation Serif"/>
          <w:sz w:val="24"/>
        </w:rPr>
        <w:t xml:space="preserve">nárůstu </w:t>
      </w:r>
      <w:r w:rsidR="00085389">
        <w:rPr>
          <w:rFonts w:ascii="Liberation Serif" w:hAnsi="Liberation Serif" w:cs="Liberation Serif"/>
          <w:sz w:val="24"/>
        </w:rPr>
        <w:t>ve výši 143 412 Kč bez DPH</w:t>
      </w:r>
      <w:r w:rsidR="00F218EE">
        <w:rPr>
          <w:rFonts w:ascii="Liberation Serif" w:hAnsi="Liberation Serif" w:cs="Liberation Serif"/>
          <w:sz w:val="24"/>
        </w:rPr>
        <w:t xml:space="preserve"> oproti Smlouvě, kdy tento nárůst </w:t>
      </w:r>
      <w:r w:rsidR="00085389">
        <w:rPr>
          <w:rFonts w:ascii="Liberation Serif" w:hAnsi="Liberation Serif" w:cs="Liberation Serif"/>
          <w:sz w:val="24"/>
        </w:rPr>
        <w:t>zahrnuje i implementaci rozšiřujících modulů iDES GDPR, ke kter</w:t>
      </w:r>
      <w:r w:rsidR="00F218EE">
        <w:rPr>
          <w:rFonts w:ascii="Liberation Serif" w:hAnsi="Liberation Serif" w:cs="Liberation Serif"/>
          <w:sz w:val="24"/>
        </w:rPr>
        <w:t>é</w:t>
      </w:r>
      <w:r w:rsidR="00085389">
        <w:rPr>
          <w:rFonts w:ascii="Liberation Serif" w:hAnsi="Liberation Serif" w:cs="Liberation Serif"/>
          <w:sz w:val="24"/>
        </w:rPr>
        <w:t>m</w:t>
      </w:r>
      <w:r w:rsidR="00F218EE">
        <w:rPr>
          <w:rFonts w:ascii="Liberation Serif" w:hAnsi="Liberation Serif" w:cs="Liberation Serif"/>
          <w:sz w:val="24"/>
        </w:rPr>
        <w:t>u</w:t>
      </w:r>
      <w:r w:rsidR="00085389">
        <w:rPr>
          <w:rFonts w:ascii="Liberation Serif" w:hAnsi="Liberation Serif" w:cs="Liberation Serif"/>
          <w:sz w:val="24"/>
        </w:rPr>
        <w:t xml:space="preserve"> došlo dodatkem č. 2.</w:t>
      </w:r>
      <w:r w:rsidR="00320A23" w:rsidRPr="00085389">
        <w:rPr>
          <w:rFonts w:ascii="Liberation Serif" w:hAnsi="Liberation Serif" w:cs="Liberation Serif"/>
          <w:sz w:val="24"/>
        </w:rPr>
        <w:t xml:space="preserve"> </w:t>
      </w:r>
    </w:p>
    <w:p w14:paraId="0C3DF148" w14:textId="55DE5E69" w:rsidR="00AD60F2" w:rsidRPr="00085389" w:rsidRDefault="00085389" w:rsidP="00F218EE">
      <w:pPr>
        <w:pStyle w:val="Zkladntext2"/>
        <w:spacing w:line="240" w:lineRule="auto"/>
        <w:ind w:left="360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Změna ceny plnění</w:t>
      </w:r>
      <w:r w:rsidR="00AD60F2" w:rsidRPr="00085389">
        <w:rPr>
          <w:rFonts w:ascii="Liberation Serif" w:hAnsi="Liberation Serif" w:cs="Liberation Serif"/>
          <w:sz w:val="24"/>
        </w:rPr>
        <w:t xml:space="preserve"> a je</w:t>
      </w:r>
      <w:r>
        <w:rPr>
          <w:rFonts w:ascii="Liberation Serif" w:hAnsi="Liberation Serif" w:cs="Liberation Serif"/>
          <w:sz w:val="24"/>
        </w:rPr>
        <w:t>jí</w:t>
      </w:r>
      <w:r w:rsidR="00AD60F2" w:rsidRPr="00085389">
        <w:rPr>
          <w:rFonts w:ascii="Liberation Serif" w:hAnsi="Liberation Serif" w:cs="Liberation Serif"/>
          <w:sz w:val="24"/>
        </w:rPr>
        <w:t xml:space="preserve"> specifikace, včetně rozepsání na jednotlivé položky, je blíže uveden</w:t>
      </w:r>
      <w:r>
        <w:rPr>
          <w:rFonts w:ascii="Liberation Serif" w:hAnsi="Liberation Serif" w:cs="Liberation Serif"/>
          <w:sz w:val="24"/>
        </w:rPr>
        <w:t>a</w:t>
      </w:r>
      <w:r w:rsidR="00AD60F2" w:rsidRPr="00085389">
        <w:rPr>
          <w:rFonts w:ascii="Liberation Serif" w:hAnsi="Liberation Serif" w:cs="Liberation Serif"/>
          <w:sz w:val="24"/>
        </w:rPr>
        <w:t xml:space="preserve"> v příloze č. 2 tohoto Dodatku č. 3.</w:t>
      </w:r>
    </w:p>
    <w:p w14:paraId="4E9433C1" w14:textId="1A195604" w:rsidR="00B47FB0" w:rsidRDefault="00320A23" w:rsidP="0005262B">
      <w:pPr>
        <w:pStyle w:val="Zkladntext2"/>
        <w:numPr>
          <w:ilvl w:val="0"/>
          <w:numId w:val="16"/>
        </w:numPr>
        <w:spacing w:line="240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Smluvní strany konstatují, že </w:t>
      </w:r>
      <w:r w:rsidR="00085389">
        <w:rPr>
          <w:rFonts w:ascii="Liberation Serif" w:hAnsi="Liberation Serif" w:cs="Liberation Serif"/>
          <w:sz w:val="24"/>
        </w:rPr>
        <w:t xml:space="preserve">výpočet </w:t>
      </w:r>
      <w:r w:rsidR="00F218EE">
        <w:rPr>
          <w:rFonts w:ascii="Liberation Serif" w:hAnsi="Liberation Serif" w:cs="Liberation Serif"/>
          <w:sz w:val="24"/>
        </w:rPr>
        <w:t xml:space="preserve">celkové ceny plnění </w:t>
      </w:r>
      <w:r w:rsidR="00085389">
        <w:rPr>
          <w:rFonts w:ascii="Liberation Serif" w:hAnsi="Liberation Serif" w:cs="Liberation Serif"/>
          <w:sz w:val="24"/>
        </w:rPr>
        <w:t xml:space="preserve">uvedený v příloze č. 2 tohoto Dodatku č. 3 </w:t>
      </w:r>
      <w:r>
        <w:rPr>
          <w:rFonts w:ascii="Liberation Serif" w:hAnsi="Liberation Serif" w:cs="Liberation Serif"/>
          <w:sz w:val="24"/>
        </w:rPr>
        <w:t xml:space="preserve">zahrnuje i maximální možný rozsah služeb jako jsou konzultace k programu iDES, hromadná školení nebo kontroly dat, analýzy a programátorské práce, které jsou </w:t>
      </w:r>
      <w:r w:rsidR="00AD60F2">
        <w:rPr>
          <w:rFonts w:ascii="Liberation Serif" w:hAnsi="Liberation Serif" w:cs="Liberation Serif"/>
          <w:sz w:val="24"/>
        </w:rPr>
        <w:t>vypláceny</w:t>
      </w:r>
      <w:r>
        <w:rPr>
          <w:rFonts w:ascii="Liberation Serif" w:hAnsi="Liberation Serif" w:cs="Liberation Serif"/>
          <w:sz w:val="24"/>
        </w:rPr>
        <w:t xml:space="preserve"> dle reálného </w:t>
      </w:r>
      <w:r w:rsidR="0003299F">
        <w:rPr>
          <w:rFonts w:ascii="Liberation Serif" w:hAnsi="Liberation Serif" w:cs="Liberation Serif"/>
          <w:sz w:val="24"/>
        </w:rPr>
        <w:t>čerpání</w:t>
      </w:r>
      <w:r>
        <w:rPr>
          <w:rFonts w:ascii="Liberation Serif" w:hAnsi="Liberation Serif" w:cs="Liberation Serif"/>
          <w:sz w:val="24"/>
        </w:rPr>
        <w:t xml:space="preserve"> a dle zkušeností</w:t>
      </w:r>
      <w:r w:rsidR="00473CAB">
        <w:rPr>
          <w:rFonts w:ascii="Liberation Serif" w:hAnsi="Liberation Serif" w:cs="Liberation Serif"/>
          <w:sz w:val="24"/>
        </w:rPr>
        <w:t xml:space="preserve"> O</w:t>
      </w:r>
      <w:r w:rsidR="00057709">
        <w:rPr>
          <w:rFonts w:ascii="Liberation Serif" w:hAnsi="Liberation Serif" w:cs="Liberation Serif"/>
          <w:sz w:val="24"/>
        </w:rPr>
        <w:t>bjednatele</w:t>
      </w:r>
      <w:r>
        <w:rPr>
          <w:rFonts w:ascii="Liberation Serif" w:hAnsi="Liberation Serif" w:cs="Liberation Serif"/>
          <w:sz w:val="24"/>
        </w:rPr>
        <w:t xml:space="preserve">, </w:t>
      </w:r>
      <w:r w:rsidR="00057709">
        <w:rPr>
          <w:rFonts w:ascii="Liberation Serif" w:hAnsi="Liberation Serif" w:cs="Liberation Serif"/>
          <w:sz w:val="24"/>
        </w:rPr>
        <w:t>bylo jejich dosavadní využívání</w:t>
      </w:r>
      <w:r w:rsidR="00473CAB">
        <w:rPr>
          <w:rFonts w:ascii="Liberation Serif" w:hAnsi="Liberation Serif" w:cs="Liberation Serif"/>
          <w:sz w:val="24"/>
        </w:rPr>
        <w:t xml:space="preserve"> ze strany O</w:t>
      </w:r>
      <w:r>
        <w:rPr>
          <w:rFonts w:ascii="Liberation Serif" w:hAnsi="Liberation Serif" w:cs="Liberation Serif"/>
          <w:sz w:val="24"/>
        </w:rPr>
        <w:t xml:space="preserve">bjednatele minimální. </w:t>
      </w:r>
    </w:p>
    <w:p w14:paraId="00083D85" w14:textId="6A6AE6C5" w:rsidR="00320A23" w:rsidRPr="0005262B" w:rsidRDefault="00320A23" w:rsidP="00B47FB0">
      <w:pPr>
        <w:pStyle w:val="Zkladntext2"/>
        <w:spacing w:line="240" w:lineRule="auto"/>
        <w:ind w:left="360"/>
        <w:jc w:val="both"/>
        <w:rPr>
          <w:rFonts w:ascii="Liberation Serif" w:hAnsi="Liberation Serif" w:cs="Liberation Serif"/>
          <w:sz w:val="24"/>
        </w:rPr>
      </w:pPr>
      <w:r w:rsidRPr="0005262B">
        <w:rPr>
          <w:rFonts w:ascii="Liberation Serif" w:hAnsi="Liberation Serif" w:cs="Liberation Serif"/>
          <w:sz w:val="24"/>
        </w:rPr>
        <w:t>Smluvní strany konstatují, ž</w:t>
      </w:r>
      <w:r w:rsidR="00473CAB">
        <w:rPr>
          <w:rFonts w:ascii="Liberation Serif" w:hAnsi="Liberation Serif" w:cs="Liberation Serif"/>
          <w:sz w:val="24"/>
        </w:rPr>
        <w:t>e i v případě, že by ze strany O</w:t>
      </w:r>
      <w:r w:rsidRPr="0005262B">
        <w:rPr>
          <w:rFonts w:ascii="Liberation Serif" w:hAnsi="Liberation Serif" w:cs="Liberation Serif"/>
          <w:sz w:val="24"/>
        </w:rPr>
        <w:t xml:space="preserve">bjednatele došlo k vyčerpání </w:t>
      </w:r>
      <w:r w:rsidR="00AD60F2">
        <w:rPr>
          <w:rFonts w:ascii="Liberation Serif" w:hAnsi="Liberation Serif" w:cs="Liberation Serif"/>
          <w:sz w:val="24"/>
        </w:rPr>
        <w:t>maximálního možného počtu</w:t>
      </w:r>
      <w:r w:rsidRPr="0005262B">
        <w:rPr>
          <w:rFonts w:ascii="Liberation Serif" w:hAnsi="Liberation Serif" w:cs="Liberation Serif"/>
          <w:sz w:val="24"/>
        </w:rPr>
        <w:t xml:space="preserve"> </w:t>
      </w:r>
      <w:r w:rsidR="00AD60F2">
        <w:rPr>
          <w:rFonts w:ascii="Liberation Serif" w:hAnsi="Liberation Serif" w:cs="Liberation Serif"/>
          <w:sz w:val="24"/>
        </w:rPr>
        <w:t xml:space="preserve">hodin u všech poskytovaných </w:t>
      </w:r>
      <w:r w:rsidR="00085389">
        <w:rPr>
          <w:rFonts w:ascii="Liberation Serif" w:hAnsi="Liberation Serif" w:cs="Liberation Serif"/>
          <w:sz w:val="24"/>
        </w:rPr>
        <w:t>služeb,</w:t>
      </w:r>
      <w:r w:rsidR="00AD60F2">
        <w:rPr>
          <w:rFonts w:ascii="Liberation Serif" w:hAnsi="Liberation Serif" w:cs="Liberation Serif"/>
          <w:sz w:val="24"/>
        </w:rPr>
        <w:t xml:space="preserve"> nedojde</w:t>
      </w:r>
      <w:r w:rsidR="00B47FB0">
        <w:rPr>
          <w:rFonts w:ascii="Liberation Serif" w:hAnsi="Liberation Serif" w:cs="Liberation Serif"/>
          <w:sz w:val="24"/>
        </w:rPr>
        <w:t xml:space="preserve"> při zahrnutí pravidelných paušálních plateb</w:t>
      </w:r>
      <w:r w:rsidR="00AD60F2">
        <w:rPr>
          <w:rFonts w:ascii="Liberation Serif" w:hAnsi="Liberation Serif" w:cs="Liberation Serif"/>
          <w:sz w:val="24"/>
        </w:rPr>
        <w:t xml:space="preserve"> za 4 roky plnění k překročení</w:t>
      </w:r>
      <w:r w:rsidRPr="0005262B">
        <w:rPr>
          <w:rFonts w:ascii="Liberation Serif" w:hAnsi="Liberation Serif" w:cs="Liberation Serif"/>
          <w:sz w:val="24"/>
        </w:rPr>
        <w:t xml:space="preserve"> </w:t>
      </w:r>
      <w:r w:rsidR="00AD60F2">
        <w:rPr>
          <w:rFonts w:ascii="Liberation Serif" w:hAnsi="Liberation Serif" w:cs="Liberation Serif"/>
          <w:sz w:val="24"/>
        </w:rPr>
        <w:t>limitu</w:t>
      </w:r>
      <w:r w:rsidRPr="0005262B">
        <w:rPr>
          <w:rFonts w:ascii="Liberation Serif" w:hAnsi="Liberation Serif" w:cs="Liberation Serif"/>
          <w:sz w:val="24"/>
        </w:rPr>
        <w:t xml:space="preserve"> pro veřejnou zakázku malého rozsahu</w:t>
      </w:r>
      <w:r w:rsidR="00B47FB0">
        <w:rPr>
          <w:rFonts w:ascii="Liberation Serif" w:hAnsi="Liberation Serif" w:cs="Liberation Serif"/>
          <w:sz w:val="24"/>
        </w:rPr>
        <w:t xml:space="preserve"> ve výši 2 000 000 Kč bez DPH</w:t>
      </w:r>
      <w:r w:rsidRPr="0005262B">
        <w:rPr>
          <w:rFonts w:ascii="Liberation Serif" w:hAnsi="Liberation Serif" w:cs="Liberation Serif"/>
          <w:sz w:val="24"/>
        </w:rPr>
        <w:t>.</w:t>
      </w:r>
    </w:p>
    <w:p w14:paraId="1E3FBF49" w14:textId="04DF5268" w:rsidR="00320A23" w:rsidRPr="00D00B55" w:rsidRDefault="00907E03" w:rsidP="00D00B55">
      <w:pPr>
        <w:pStyle w:val="Zkladntext2"/>
        <w:numPr>
          <w:ilvl w:val="0"/>
          <w:numId w:val="16"/>
        </w:numPr>
        <w:spacing w:line="240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Tímto D</w:t>
      </w:r>
      <w:r w:rsidR="00320A23">
        <w:rPr>
          <w:rFonts w:ascii="Liberation Serif" w:hAnsi="Liberation Serif" w:cs="Liberation Serif"/>
          <w:sz w:val="24"/>
        </w:rPr>
        <w:t xml:space="preserve">odatkem č. 3 dochází k aktualizaci přílohy č. 5a Smlouvy, která se nahrazuje přílohou s obdobným zněním, uvedenou jako příloha č. </w:t>
      </w:r>
      <w:r w:rsidR="00AD60F2">
        <w:rPr>
          <w:rFonts w:ascii="Liberation Serif" w:hAnsi="Liberation Serif" w:cs="Liberation Serif"/>
          <w:sz w:val="24"/>
        </w:rPr>
        <w:t>2</w:t>
      </w:r>
      <w:r w:rsidR="00085389">
        <w:rPr>
          <w:rFonts w:ascii="Liberation Serif" w:hAnsi="Liberation Serif" w:cs="Liberation Serif"/>
          <w:sz w:val="24"/>
        </w:rPr>
        <w:t xml:space="preserve"> tohoto Dodatku č. 3.</w:t>
      </w:r>
    </w:p>
    <w:p w14:paraId="505E6B5B" w14:textId="77777777" w:rsidR="00D00B55" w:rsidRDefault="00D00B55" w:rsidP="006A2E37">
      <w:pPr>
        <w:pStyle w:val="Zkladntext2"/>
        <w:spacing w:line="240" w:lineRule="auto"/>
        <w:jc w:val="both"/>
        <w:rPr>
          <w:rFonts w:ascii="Liberation Serif" w:hAnsi="Liberation Serif" w:cs="Liberation Serif"/>
          <w:b/>
          <w:sz w:val="24"/>
        </w:rPr>
      </w:pPr>
    </w:p>
    <w:p w14:paraId="69F472FA" w14:textId="407590CD" w:rsidR="00AD60F2" w:rsidRPr="00907E03" w:rsidRDefault="00AD60F2" w:rsidP="00907E03">
      <w:pPr>
        <w:pStyle w:val="Zkladntext2"/>
        <w:numPr>
          <w:ilvl w:val="0"/>
          <w:numId w:val="17"/>
        </w:numPr>
        <w:spacing w:line="240" w:lineRule="auto"/>
        <w:jc w:val="center"/>
        <w:rPr>
          <w:rFonts w:ascii="Liberation Serif" w:hAnsi="Liberation Serif" w:cs="Liberation Serif"/>
          <w:b/>
          <w:sz w:val="24"/>
        </w:rPr>
      </w:pPr>
      <w:r w:rsidRPr="00AD60F2">
        <w:rPr>
          <w:rFonts w:ascii="Liberation Serif" w:hAnsi="Liberation Serif" w:cs="Liberation Serif"/>
          <w:b/>
          <w:sz w:val="24"/>
        </w:rPr>
        <w:t>Závěrečná ustanovení</w:t>
      </w:r>
    </w:p>
    <w:p w14:paraId="426706D3" w14:textId="77777777" w:rsidR="00AD60F2" w:rsidRPr="00AD60F2" w:rsidRDefault="0027189B" w:rsidP="00AD60F2">
      <w:pPr>
        <w:pStyle w:val="Odstavecseseznamem"/>
        <w:numPr>
          <w:ilvl w:val="0"/>
          <w:numId w:val="3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hint="eastAsia"/>
        </w:rPr>
      </w:pPr>
      <w:r w:rsidRPr="00CD0EC7">
        <w:t>U</w:t>
      </w:r>
      <w:r w:rsidR="00512003" w:rsidRPr="00CD0EC7">
        <w:t>stanovení Smlouvy o provozování software iDES, které nejsou do</w:t>
      </w:r>
      <w:r w:rsidR="00CD0EC7" w:rsidRPr="00CD0EC7">
        <w:t>tčena tímto Dodatkem</w:t>
      </w:r>
      <w:r w:rsidR="00AD60F2">
        <w:t xml:space="preserve"> č. 3</w:t>
      </w:r>
      <w:r w:rsidR="00CD0EC7" w:rsidRPr="00CD0EC7">
        <w:t xml:space="preserve">, zůstávají </w:t>
      </w:r>
      <w:r w:rsidR="00512003" w:rsidRPr="00CD0EC7">
        <w:t>v</w:t>
      </w:r>
      <w:r w:rsidR="00CD0EC7" w:rsidRPr="00CD0EC7">
        <w:t> </w:t>
      </w:r>
      <w:r w:rsidR="00512003" w:rsidRPr="00CD0EC7">
        <w:t>platnosti</w:t>
      </w:r>
      <w:r w:rsidR="00CD0EC7" w:rsidRPr="00CD0EC7">
        <w:t>.</w:t>
      </w:r>
      <w:r w:rsidR="00512003" w:rsidRPr="00AD60F2">
        <w:rPr>
          <w:color w:val="000000"/>
        </w:rPr>
        <w:t xml:space="preserve"> Smluvní strany souhlasí se zveřejněním </w:t>
      </w:r>
      <w:r w:rsidR="00D00B55" w:rsidRPr="00AD60F2">
        <w:rPr>
          <w:color w:val="000000"/>
        </w:rPr>
        <w:t>Dodatku č. 3</w:t>
      </w:r>
      <w:r w:rsidR="00512003" w:rsidRPr="00AD60F2">
        <w:rPr>
          <w:color w:val="000000"/>
        </w:rPr>
        <w:t xml:space="preserve"> na internetových stránkách městské části Praha 7 a Profilu zadavatele dle zákona č. 134/2016 Sb., o zadávání veřejných zakázek.</w:t>
      </w:r>
    </w:p>
    <w:p w14:paraId="421DEDCA" w14:textId="77777777" w:rsidR="00AD60F2" w:rsidRPr="00AD60F2" w:rsidRDefault="00AD60F2" w:rsidP="00AD60F2">
      <w:pPr>
        <w:pStyle w:val="Odstavecseseznamem"/>
        <w:spacing w:line="264" w:lineRule="auto"/>
        <w:ind w:left="360"/>
        <w:jc w:val="both"/>
        <w:rPr>
          <w:rFonts w:hint="eastAsia"/>
        </w:rPr>
      </w:pPr>
    </w:p>
    <w:p w14:paraId="6A6C334E" w14:textId="77777777" w:rsidR="00AD60F2" w:rsidRPr="00AD60F2" w:rsidRDefault="00512003" w:rsidP="00AD60F2">
      <w:pPr>
        <w:pStyle w:val="Odstavecseseznamem"/>
        <w:numPr>
          <w:ilvl w:val="0"/>
          <w:numId w:val="3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hint="eastAsia"/>
        </w:rPr>
      </w:pPr>
      <w:r w:rsidRPr="00AD60F2">
        <w:rPr>
          <w:color w:val="000000"/>
        </w:rPr>
        <w:t xml:space="preserve">Tento </w:t>
      </w:r>
      <w:r w:rsidR="00D00B55" w:rsidRPr="00AD60F2">
        <w:rPr>
          <w:color w:val="000000"/>
        </w:rPr>
        <w:t>Dodatek č. 3</w:t>
      </w:r>
      <w:r w:rsidRPr="00AD60F2">
        <w:rPr>
          <w:color w:val="000000"/>
        </w:rPr>
        <w:t xml:space="preserve"> nabývá platnosti dnem jejího podpisu oběma smluvními stranami a účinnosti dnem jeho uveřejnění v registru smluv dle zákona č. 340/2015 Sb., o zvláštních podmínkách účinnosti některých smluv, uveřejňování těchto smluv a o registru smluv.</w:t>
      </w:r>
    </w:p>
    <w:p w14:paraId="162010FF" w14:textId="77777777" w:rsidR="00AD60F2" w:rsidRPr="00AD60F2" w:rsidRDefault="00AD60F2" w:rsidP="00AD60F2">
      <w:pPr>
        <w:pStyle w:val="Odstavecseseznamem"/>
        <w:rPr>
          <w:rFonts w:hint="eastAsia"/>
          <w:color w:val="000000"/>
        </w:rPr>
      </w:pPr>
    </w:p>
    <w:p w14:paraId="3B88C705" w14:textId="77777777" w:rsidR="00AD60F2" w:rsidRPr="00AD60F2" w:rsidRDefault="00512003" w:rsidP="00AD60F2">
      <w:pPr>
        <w:pStyle w:val="Odstavecseseznamem"/>
        <w:numPr>
          <w:ilvl w:val="0"/>
          <w:numId w:val="3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hint="eastAsia"/>
        </w:rPr>
      </w:pPr>
      <w:r w:rsidRPr="00AD60F2">
        <w:rPr>
          <w:color w:val="000000"/>
        </w:rPr>
        <w:t xml:space="preserve">Smluvní strany výslovně sjednávají, že uveřejnění tohoto </w:t>
      </w:r>
      <w:r w:rsidR="00D00B55" w:rsidRPr="00AD60F2">
        <w:rPr>
          <w:color w:val="000000"/>
        </w:rPr>
        <w:t>Dodatku č. 3</w:t>
      </w:r>
      <w:r w:rsidRPr="00AD60F2">
        <w:rPr>
          <w:color w:val="000000"/>
        </w:rPr>
        <w:t xml:space="preserve"> v registru smluv dle zákona č. 340/2015 Sb., o zvláštních podmínkách účinnosti některých smluv, uveřejňování těchto smluv a o registru smluv zajistí Městská čás</w:t>
      </w:r>
      <w:r w:rsidR="00AD60F2">
        <w:rPr>
          <w:color w:val="000000"/>
        </w:rPr>
        <w:t>t Praha 7 do 30 dnů od podpisu tohoto Dodatku č. 3</w:t>
      </w:r>
      <w:r w:rsidRPr="00AD60F2">
        <w:rPr>
          <w:color w:val="000000"/>
        </w:rPr>
        <w:t xml:space="preserve"> a neprodleně bude druhou smluvní stranu o provedeném uveřejnění v registru smluv informovat.</w:t>
      </w:r>
    </w:p>
    <w:p w14:paraId="244D0787" w14:textId="77777777" w:rsidR="00AD60F2" w:rsidRPr="00AD60F2" w:rsidRDefault="00AD60F2" w:rsidP="00AD60F2">
      <w:pPr>
        <w:pStyle w:val="Odstavecseseznamem"/>
        <w:rPr>
          <w:rFonts w:hint="eastAsia"/>
          <w:color w:val="000000"/>
        </w:rPr>
      </w:pPr>
    </w:p>
    <w:p w14:paraId="5915765A" w14:textId="7BE1E41A" w:rsidR="00AD60F2" w:rsidRPr="00AD60F2" w:rsidRDefault="00512003" w:rsidP="00AD60F2">
      <w:pPr>
        <w:pStyle w:val="Odstavecseseznamem"/>
        <w:numPr>
          <w:ilvl w:val="0"/>
          <w:numId w:val="3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hint="eastAsia"/>
        </w:rPr>
      </w:pPr>
      <w:r w:rsidRPr="00AD60F2">
        <w:rPr>
          <w:color w:val="000000"/>
        </w:rPr>
        <w:t xml:space="preserve">Smluvní strany souhlasí s uveřejněním tohoto </w:t>
      </w:r>
      <w:r w:rsidR="00D00B55" w:rsidRPr="00AD60F2">
        <w:rPr>
          <w:color w:val="000000"/>
        </w:rPr>
        <w:t>Dodatku č. 3</w:t>
      </w:r>
      <w:r w:rsidR="00907E03">
        <w:rPr>
          <w:color w:val="000000"/>
        </w:rPr>
        <w:t xml:space="preserve"> a konstatují, že v D</w:t>
      </w:r>
      <w:r w:rsidRPr="00AD60F2">
        <w:rPr>
          <w:color w:val="000000"/>
        </w:rPr>
        <w:t>odatku</w:t>
      </w:r>
      <w:r w:rsidR="00907E03">
        <w:rPr>
          <w:color w:val="000000"/>
        </w:rPr>
        <w:t xml:space="preserve"> č. 3</w:t>
      </w:r>
      <w:r w:rsidRPr="00AD60F2">
        <w:rPr>
          <w:color w:val="000000"/>
        </w:rPr>
        <w:t xml:space="preserve"> nejsou informace, které nemohou být poskytnuty podle zákona č. 340/2015 Sb., o zvláštních podmínkách účinnosti některých smluv, uveřejňování těchto smluv a o registru smluv a zákona č. 106/1999 Sb., o svobodném přístupu k informacím.</w:t>
      </w:r>
    </w:p>
    <w:p w14:paraId="32B00373" w14:textId="77777777" w:rsidR="00AD60F2" w:rsidRPr="00AD60F2" w:rsidRDefault="00AD60F2" w:rsidP="00AD60F2">
      <w:pPr>
        <w:pStyle w:val="Odstavecseseznamem"/>
        <w:rPr>
          <w:rFonts w:hint="eastAsia"/>
          <w:color w:val="000000"/>
        </w:rPr>
      </w:pPr>
    </w:p>
    <w:p w14:paraId="06037EE2" w14:textId="3ACCC369" w:rsidR="00AD60F2" w:rsidRPr="00AD60F2" w:rsidRDefault="005442C4" w:rsidP="00AD60F2">
      <w:pPr>
        <w:pStyle w:val="Odstavecseseznamem"/>
        <w:numPr>
          <w:ilvl w:val="0"/>
          <w:numId w:val="3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hint="eastAsia"/>
        </w:rPr>
      </w:pPr>
      <w:r w:rsidRPr="00AD60F2">
        <w:rPr>
          <w:color w:val="000000"/>
        </w:rPr>
        <w:t xml:space="preserve">Dodatek </w:t>
      </w:r>
      <w:r w:rsidR="00AD60F2">
        <w:rPr>
          <w:color w:val="000000"/>
        </w:rPr>
        <w:t xml:space="preserve">č. 3 </w:t>
      </w:r>
      <w:r w:rsidR="00473CAB">
        <w:rPr>
          <w:color w:val="000000"/>
        </w:rPr>
        <w:t>se vyhotovuje v pěti (5</w:t>
      </w:r>
      <w:r w:rsidR="00512003" w:rsidRPr="00AD60F2">
        <w:rPr>
          <w:color w:val="000000"/>
        </w:rPr>
        <w:t xml:space="preserve">) vyhotoveních s platností originálu, </w:t>
      </w:r>
      <w:r w:rsidR="00473CAB">
        <w:rPr>
          <w:color w:val="000000"/>
        </w:rPr>
        <w:t>z nichž Objednatel obdrží pět (3</w:t>
      </w:r>
      <w:r w:rsidR="00512003" w:rsidRPr="00AD60F2">
        <w:rPr>
          <w:color w:val="000000"/>
        </w:rPr>
        <w:t xml:space="preserve">) stejnopisů a Poskytovatel dva (2) stejnopisy. </w:t>
      </w:r>
    </w:p>
    <w:p w14:paraId="353A84B6" w14:textId="77777777" w:rsidR="00AD60F2" w:rsidRPr="00AD60F2" w:rsidRDefault="00AD60F2" w:rsidP="00AD60F2">
      <w:pPr>
        <w:pStyle w:val="Odstavecseseznamem"/>
        <w:rPr>
          <w:rFonts w:ascii="Times New Roman" w:hAnsi="Times New Roman" w:cs="Times New Roman"/>
        </w:rPr>
      </w:pPr>
    </w:p>
    <w:p w14:paraId="1C427B59" w14:textId="75C6B4D8" w:rsidR="00DB5DFC" w:rsidRPr="00AD60F2" w:rsidRDefault="00AD5B1C" w:rsidP="00AD60F2">
      <w:pPr>
        <w:pStyle w:val="Odstavecseseznamem"/>
        <w:numPr>
          <w:ilvl w:val="0"/>
          <w:numId w:val="3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hint="eastAsia"/>
        </w:rPr>
      </w:pPr>
      <w:r w:rsidRPr="00AD60F2">
        <w:rPr>
          <w:rFonts w:ascii="Times New Roman" w:hAnsi="Times New Roman" w:cs="Times New Roman"/>
        </w:rPr>
        <w:t>K</w:t>
      </w:r>
      <w:r w:rsidR="00907E03">
        <w:rPr>
          <w:rFonts w:ascii="Times New Roman" w:hAnsi="Times New Roman" w:cs="Times New Roman"/>
        </w:rPr>
        <w:t> </w:t>
      </w:r>
      <w:r w:rsidRPr="00AD60F2">
        <w:rPr>
          <w:rFonts w:ascii="Times New Roman" w:hAnsi="Times New Roman" w:cs="Times New Roman"/>
        </w:rPr>
        <w:t>Dodat</w:t>
      </w:r>
      <w:r w:rsidR="002400BA" w:rsidRPr="00AD60F2">
        <w:rPr>
          <w:rFonts w:ascii="Times New Roman" w:hAnsi="Times New Roman" w:cs="Times New Roman"/>
        </w:rPr>
        <w:t>ku</w:t>
      </w:r>
      <w:r w:rsidR="00907E03">
        <w:rPr>
          <w:rFonts w:ascii="Times New Roman" w:hAnsi="Times New Roman" w:cs="Times New Roman"/>
        </w:rPr>
        <w:t xml:space="preserve"> č. 3</w:t>
      </w:r>
      <w:r w:rsidR="002400BA" w:rsidRPr="00AD60F2">
        <w:rPr>
          <w:rFonts w:ascii="Times New Roman" w:hAnsi="Times New Roman" w:cs="Times New Roman"/>
        </w:rPr>
        <w:t xml:space="preserve"> jsou přiloženy nové přílohy S</w:t>
      </w:r>
      <w:r w:rsidRPr="00AD60F2">
        <w:rPr>
          <w:rFonts w:ascii="Times New Roman" w:hAnsi="Times New Roman" w:cs="Times New Roman"/>
        </w:rPr>
        <w:t>mlouvy</w:t>
      </w:r>
      <w:r w:rsidR="00DB5DFC" w:rsidRPr="00AD60F2">
        <w:rPr>
          <w:rFonts w:ascii="Times New Roman" w:hAnsi="Times New Roman" w:cs="Times New Roman"/>
        </w:rPr>
        <w:t>:</w:t>
      </w:r>
    </w:p>
    <w:p w14:paraId="1EEE27D0" w14:textId="77777777" w:rsidR="00AD60F2" w:rsidRDefault="00AD60F2" w:rsidP="00AD60F2">
      <w:pPr>
        <w:rPr>
          <w:rFonts w:ascii="Times New Roman" w:hAnsi="Times New Roman" w:cs="Times New Roman"/>
          <w:i/>
        </w:rPr>
      </w:pPr>
    </w:p>
    <w:p w14:paraId="317A1B93" w14:textId="6B88C76F" w:rsidR="00AD60F2" w:rsidRDefault="00473CAB" w:rsidP="00907E03">
      <w:pPr>
        <w:ind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Příloha č. 1 – Žádost P</w:t>
      </w:r>
      <w:r w:rsidR="00AD60F2">
        <w:rPr>
          <w:rFonts w:ascii="Times New Roman" w:hAnsi="Times New Roman" w:cs="Times New Roman"/>
          <w:i/>
        </w:rPr>
        <w:t>oskytovatele o navýšení ceny plnění</w:t>
      </w:r>
    </w:p>
    <w:p w14:paraId="3A2F99E5" w14:textId="4D60263B" w:rsidR="00DB5DFC" w:rsidRPr="00B92327" w:rsidRDefault="00AD60F2" w:rsidP="00907E03">
      <w:pPr>
        <w:ind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Příloha č. 2 - </w:t>
      </w:r>
      <w:r w:rsidR="00DB5DFC" w:rsidRPr="00B92327">
        <w:rPr>
          <w:rFonts w:ascii="Times New Roman" w:hAnsi="Times New Roman" w:cs="Times New Roman"/>
          <w:i/>
        </w:rPr>
        <w:t>příloha č. 5a</w:t>
      </w:r>
      <w:r w:rsidR="00AD5B1C" w:rsidRPr="00B92327">
        <w:rPr>
          <w:rFonts w:ascii="Times New Roman" w:hAnsi="Times New Roman" w:cs="Times New Roman"/>
          <w:i/>
        </w:rPr>
        <w:t xml:space="preserve"> - Cenová </w:t>
      </w:r>
      <w:r w:rsidR="00EA6DFE">
        <w:rPr>
          <w:rFonts w:ascii="Times New Roman" w:hAnsi="Times New Roman" w:cs="Times New Roman"/>
          <w:i/>
        </w:rPr>
        <w:t>nabídka</w:t>
      </w:r>
      <w:r w:rsidR="00AD5B1C" w:rsidRPr="00B92327">
        <w:rPr>
          <w:rFonts w:ascii="Times New Roman" w:hAnsi="Times New Roman" w:cs="Times New Roman"/>
          <w:i/>
        </w:rPr>
        <w:t xml:space="preserve"> dle </w:t>
      </w:r>
      <w:r w:rsidR="00D00B55">
        <w:rPr>
          <w:rFonts w:ascii="Times New Roman" w:hAnsi="Times New Roman" w:cs="Times New Roman"/>
          <w:i/>
        </w:rPr>
        <w:t>Dodatku č. 3</w:t>
      </w:r>
    </w:p>
    <w:p w14:paraId="022F4AC3" w14:textId="77777777" w:rsidR="00CD0EC7" w:rsidRDefault="00CD0EC7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4F9CE5A1" w14:textId="77777777" w:rsidR="007A7E79" w:rsidRDefault="007A7E79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20870449" w14:textId="77777777" w:rsidR="00F218EE" w:rsidRDefault="00F218EE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7E292FFB" w14:textId="77777777" w:rsidR="00AD60F2" w:rsidRDefault="00AD60F2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365462A6" w14:textId="33EC945D" w:rsidR="00512003" w:rsidRDefault="00512003" w:rsidP="00907E03">
      <w:pPr>
        <w:pStyle w:val="Zkladntext"/>
        <w:spacing w:after="0" w:line="264" w:lineRule="auto"/>
        <w:ind w:firstLine="709"/>
        <w:jc w:val="both"/>
        <w:rPr>
          <w:rFonts w:hint="eastAsia"/>
        </w:rPr>
      </w:pPr>
      <w:r>
        <w:t>V Praze dne</w:t>
      </w:r>
      <w:r w:rsidR="00002753">
        <w:t xml:space="preserve"> 29. 3. </w:t>
      </w:r>
      <w:r w:rsidR="00907E03">
        <w:t>2023</w:t>
      </w:r>
      <w:r>
        <w:tab/>
      </w:r>
      <w:r>
        <w:tab/>
      </w:r>
      <w:r>
        <w:tab/>
      </w:r>
      <w:r w:rsidR="00002753">
        <w:tab/>
        <w:t xml:space="preserve">V Praze dne 31. 3. </w:t>
      </w:r>
      <w:r w:rsidR="00907E03">
        <w:t>2023</w:t>
      </w:r>
    </w:p>
    <w:p w14:paraId="5E5959E9" w14:textId="77777777" w:rsidR="00512003" w:rsidRDefault="00512003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1187244B" w14:textId="77777777" w:rsidR="00CD0EC7" w:rsidRDefault="00CD0EC7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31940671" w14:textId="77777777" w:rsidR="00473CAB" w:rsidRDefault="00473CAB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1FC8A49E" w14:textId="2CCC382E" w:rsidR="00473CAB" w:rsidRPr="00BF5E64" w:rsidRDefault="00473CAB" w:rsidP="00473CAB">
      <w:pPr>
        <w:pStyle w:val="Zkladntext"/>
        <w:spacing w:after="0" w:line="264" w:lineRule="auto"/>
        <w:ind w:firstLine="709"/>
        <w:jc w:val="both"/>
        <w:rPr>
          <w:rFonts w:hint="eastAsia"/>
        </w:rPr>
      </w:pPr>
      <w:r w:rsidRPr="00BF5E64">
        <w:t>Objednatel</w:t>
      </w:r>
      <w:r w:rsidRPr="00BF5E64">
        <w:tab/>
      </w:r>
      <w:r>
        <w:tab/>
      </w:r>
      <w:r>
        <w:tab/>
      </w:r>
      <w:r>
        <w:tab/>
      </w:r>
      <w:r>
        <w:tab/>
      </w:r>
      <w:r>
        <w:tab/>
      </w:r>
      <w:r w:rsidRPr="00BF5E64">
        <w:t>Poskytovatel</w:t>
      </w:r>
    </w:p>
    <w:p w14:paraId="7CA79167" w14:textId="77777777" w:rsidR="00AD60F2" w:rsidRDefault="00AD60F2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438212CE" w14:textId="77777777" w:rsidR="00AD60F2" w:rsidRDefault="00AD60F2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7018425F" w14:textId="77777777" w:rsidR="00AD60F2" w:rsidRDefault="00AD60F2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2A8A0368" w14:textId="77777777" w:rsidR="00473CAB" w:rsidRDefault="00473CAB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6DB73909" w14:textId="77777777" w:rsidR="00AD60F2" w:rsidRDefault="00AD60F2" w:rsidP="00512003">
      <w:pPr>
        <w:pStyle w:val="Zkladntext"/>
        <w:spacing w:after="0" w:line="264" w:lineRule="auto"/>
        <w:jc w:val="both"/>
        <w:rPr>
          <w:rFonts w:hint="eastAsia"/>
        </w:rPr>
      </w:pPr>
    </w:p>
    <w:p w14:paraId="08DFC882" w14:textId="0ED06C17" w:rsidR="00512003" w:rsidRDefault="00907E03" w:rsidP="00907E03">
      <w:pPr>
        <w:pStyle w:val="Zkladntext"/>
        <w:spacing w:after="0" w:line="240" w:lineRule="auto"/>
        <w:ind w:firstLine="709"/>
        <w:jc w:val="both"/>
        <w:rPr>
          <w:rFonts w:hint="eastAsia"/>
        </w:rPr>
      </w:pPr>
      <w:r>
        <w:t>…………………………</w:t>
      </w:r>
      <w:r w:rsidR="00512003">
        <w:tab/>
      </w:r>
      <w:r w:rsidR="00512003">
        <w:tab/>
      </w:r>
      <w:r w:rsidR="00210A03">
        <w:tab/>
      </w:r>
      <w:r w:rsidR="00473CAB">
        <w:tab/>
      </w:r>
      <w:r>
        <w:t>…………………………</w:t>
      </w:r>
    </w:p>
    <w:p w14:paraId="259DAB52" w14:textId="0D024126" w:rsidR="00512003" w:rsidRPr="00473CAB" w:rsidRDefault="00512003" w:rsidP="00473CAB">
      <w:pPr>
        <w:pStyle w:val="Zkladntext"/>
        <w:spacing w:after="0" w:line="264" w:lineRule="auto"/>
        <w:ind w:firstLine="709"/>
        <w:jc w:val="both"/>
        <w:rPr>
          <w:rFonts w:hint="eastAsia"/>
          <w:b/>
        </w:rPr>
      </w:pPr>
      <w:r w:rsidRPr="00473CAB">
        <w:rPr>
          <w:b/>
        </w:rPr>
        <w:t>Městská část Praha 7</w:t>
      </w:r>
      <w:r w:rsidRPr="00473CAB">
        <w:rPr>
          <w:b/>
        </w:rPr>
        <w:tab/>
      </w:r>
      <w:r w:rsidR="00210A03" w:rsidRPr="00473CAB">
        <w:rPr>
          <w:b/>
        </w:rPr>
        <w:tab/>
      </w:r>
      <w:r w:rsidR="00473CAB" w:rsidRPr="00473CAB">
        <w:rPr>
          <w:b/>
        </w:rPr>
        <w:tab/>
      </w:r>
      <w:r w:rsidR="00473CAB" w:rsidRPr="00473CAB">
        <w:rPr>
          <w:b/>
        </w:rPr>
        <w:tab/>
      </w:r>
      <w:r w:rsidRPr="00473CAB">
        <w:rPr>
          <w:b/>
        </w:rPr>
        <w:t>TOM – comp</w:t>
      </w:r>
      <w:r w:rsidR="00473CAB">
        <w:rPr>
          <w:b/>
        </w:rPr>
        <w:t xml:space="preserve">uter, s.r.o.                   </w:t>
      </w:r>
    </w:p>
    <w:p w14:paraId="19C3ED88" w14:textId="21642D0E" w:rsidR="00411A18" w:rsidRDefault="00512003" w:rsidP="00473CAB">
      <w:pPr>
        <w:pStyle w:val="Zkladntext"/>
        <w:spacing w:after="0" w:line="264" w:lineRule="auto"/>
        <w:ind w:firstLine="709"/>
        <w:jc w:val="both"/>
        <w:rPr>
          <w:rFonts w:hint="eastAsia"/>
        </w:rPr>
      </w:pPr>
      <w:r w:rsidRPr="00BF5E64">
        <w:t>Ing. Kamil Vavřinec Mareš</w:t>
      </w:r>
      <w:r w:rsidR="004E41AA">
        <w:t>, Ph.D.</w:t>
      </w:r>
      <w:r w:rsidRPr="00BF5E64">
        <w:tab/>
      </w:r>
      <w:r w:rsidR="00210A03">
        <w:tab/>
      </w:r>
      <w:r w:rsidR="004E41AA">
        <w:tab/>
      </w:r>
      <w:r w:rsidRPr="00BF5E64">
        <w:t>Ing. Tomáš Huml</w:t>
      </w:r>
    </w:p>
    <w:p w14:paraId="3B728285" w14:textId="38F2EFD6" w:rsidR="00512003" w:rsidRPr="00364957" w:rsidRDefault="00411A18" w:rsidP="00473CAB">
      <w:pPr>
        <w:pStyle w:val="Zkladntext"/>
        <w:spacing w:after="0" w:line="264" w:lineRule="auto"/>
        <w:ind w:firstLine="709"/>
        <w:jc w:val="both"/>
        <w:rPr>
          <w:rFonts w:hint="eastAsia"/>
        </w:rPr>
      </w:pPr>
      <w:r>
        <w:t>m</w:t>
      </w:r>
      <w:r w:rsidRPr="00BF5E64">
        <w:t>ístostarosta</w:t>
      </w:r>
      <w:r>
        <w:tab/>
      </w:r>
      <w:r w:rsidR="00210A03">
        <w:tab/>
      </w:r>
      <w:r w:rsidR="00473CAB">
        <w:tab/>
      </w:r>
      <w:r w:rsidR="00473CAB">
        <w:tab/>
      </w:r>
      <w:r w:rsidR="00473CAB">
        <w:tab/>
      </w:r>
      <w:r w:rsidR="00473CAB">
        <w:tab/>
      </w:r>
      <w:r w:rsidR="007A7E79" w:rsidRPr="00BF5E64">
        <w:t>jednatel</w:t>
      </w:r>
      <w:r w:rsidR="00512003" w:rsidRPr="00BF5E64">
        <w:tab/>
      </w:r>
      <w:r w:rsidR="00512003" w:rsidRPr="00BF5E64">
        <w:tab/>
      </w:r>
    </w:p>
    <w:sectPr w:rsidR="00512003" w:rsidRPr="00364957" w:rsidSect="000A7926">
      <w:footerReference w:type="default" r:id="rId8"/>
      <w:pgSz w:w="11906" w:h="16838"/>
      <w:pgMar w:top="1134" w:right="1134" w:bottom="1276" w:left="1134" w:header="0" w:footer="831" w:gutter="0"/>
      <w:cols w:space="708"/>
      <w:formProt w:val="0"/>
      <w:docGrid w:linePitch="24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D7BCC8" w16cid:durableId="216430AC"/>
  <w16cid:commentId w16cid:paraId="7D7C4724" w16cid:durableId="21740344"/>
  <w16cid:commentId w16cid:paraId="4EECF7DA" w16cid:durableId="21740345"/>
  <w16cid:commentId w16cid:paraId="6EC61923" w16cid:durableId="21740346"/>
  <w16cid:commentId w16cid:paraId="6DD88835" w16cid:durableId="21740347"/>
  <w16cid:commentId w16cid:paraId="39A30467" w16cid:durableId="21740348"/>
  <w16cid:commentId w16cid:paraId="50E8AD2B" w16cid:durableId="217403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86B5E" w14:textId="77777777" w:rsidR="0076471D" w:rsidRDefault="0076471D">
      <w:pPr>
        <w:rPr>
          <w:rFonts w:hint="eastAsia"/>
        </w:rPr>
      </w:pPr>
      <w:r>
        <w:separator/>
      </w:r>
    </w:p>
  </w:endnote>
  <w:endnote w:type="continuationSeparator" w:id="0">
    <w:p w14:paraId="24928319" w14:textId="77777777" w:rsidR="0076471D" w:rsidRDefault="007647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7FA25" w14:textId="77777777" w:rsidR="00006A58" w:rsidRDefault="00B86B41">
    <w:pPr>
      <w:pStyle w:val="Zpat"/>
      <w:rPr>
        <w:rFonts w:hint="eastAsia"/>
      </w:rPr>
    </w:pPr>
    <w:r>
      <w:tab/>
    </w:r>
    <w:r>
      <w:fldChar w:fldCharType="begin"/>
    </w:r>
    <w:r>
      <w:instrText>PAGE</w:instrText>
    </w:r>
    <w:r>
      <w:fldChar w:fldCharType="separate"/>
    </w:r>
    <w:r w:rsidR="00ED49FD">
      <w:rPr>
        <w:rFonts w:hint="eastAsia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30453" w14:textId="77777777" w:rsidR="0076471D" w:rsidRDefault="0076471D">
      <w:pPr>
        <w:rPr>
          <w:rFonts w:hint="eastAsia"/>
        </w:rPr>
      </w:pPr>
      <w:r>
        <w:separator/>
      </w:r>
    </w:p>
  </w:footnote>
  <w:footnote w:type="continuationSeparator" w:id="0">
    <w:p w14:paraId="1780DBE0" w14:textId="77777777" w:rsidR="0076471D" w:rsidRDefault="0076471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52F0"/>
    <w:multiLevelType w:val="multilevel"/>
    <w:tmpl w:val="22F8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B40A33"/>
    <w:multiLevelType w:val="hybridMultilevel"/>
    <w:tmpl w:val="30FCBE20"/>
    <w:lvl w:ilvl="0" w:tplc="591A908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32743"/>
    <w:multiLevelType w:val="multilevel"/>
    <w:tmpl w:val="C76A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053449"/>
    <w:multiLevelType w:val="hybridMultilevel"/>
    <w:tmpl w:val="EC6ED93A"/>
    <w:lvl w:ilvl="0" w:tplc="13BEC9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B74D2C"/>
    <w:multiLevelType w:val="hybridMultilevel"/>
    <w:tmpl w:val="6FCC6096"/>
    <w:lvl w:ilvl="0" w:tplc="2478849A">
      <w:start w:val="6"/>
      <w:numFmt w:val="bullet"/>
      <w:lvlText w:val="-"/>
      <w:lvlJc w:val="left"/>
      <w:pPr>
        <w:ind w:left="1785" w:hanging="360"/>
      </w:pPr>
      <w:rPr>
        <w:rFonts w:ascii="Liberation Serif" w:eastAsia="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36970899"/>
    <w:multiLevelType w:val="multilevel"/>
    <w:tmpl w:val="13169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BCD7086"/>
    <w:multiLevelType w:val="multilevel"/>
    <w:tmpl w:val="97CE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18693C"/>
    <w:multiLevelType w:val="multilevel"/>
    <w:tmpl w:val="FFF8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354379"/>
    <w:multiLevelType w:val="multilevel"/>
    <w:tmpl w:val="6B6C9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230BE"/>
    <w:multiLevelType w:val="multilevel"/>
    <w:tmpl w:val="39B8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38C7B09"/>
    <w:multiLevelType w:val="multilevel"/>
    <w:tmpl w:val="AB08DE4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66C4889"/>
    <w:multiLevelType w:val="hybridMultilevel"/>
    <w:tmpl w:val="4AC03B9C"/>
    <w:lvl w:ilvl="0" w:tplc="D5B89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74A1F"/>
    <w:multiLevelType w:val="hybridMultilevel"/>
    <w:tmpl w:val="81D8DB98"/>
    <w:lvl w:ilvl="0" w:tplc="46549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F372C"/>
    <w:multiLevelType w:val="multilevel"/>
    <w:tmpl w:val="B2E0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AC2664"/>
    <w:multiLevelType w:val="hybridMultilevel"/>
    <w:tmpl w:val="8C46C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1256F"/>
    <w:multiLevelType w:val="multilevel"/>
    <w:tmpl w:val="883CD7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8E36D99"/>
    <w:multiLevelType w:val="multilevel"/>
    <w:tmpl w:val="97CE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9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8"/>
  </w:num>
  <w:num w:numId="10">
    <w:abstractNumId w:val="5"/>
  </w:num>
  <w:num w:numId="11">
    <w:abstractNumId w:val="14"/>
  </w:num>
  <w:num w:numId="12">
    <w:abstractNumId w:val="6"/>
  </w:num>
  <w:num w:numId="13">
    <w:abstractNumId w:val="4"/>
  </w:num>
  <w:num w:numId="14">
    <w:abstractNumId w:val="1"/>
  </w:num>
  <w:num w:numId="15">
    <w:abstractNumId w:val="11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58"/>
    <w:rsid w:val="00001AA3"/>
    <w:rsid w:val="00001E4C"/>
    <w:rsid w:val="00002753"/>
    <w:rsid w:val="00006A58"/>
    <w:rsid w:val="00015CA3"/>
    <w:rsid w:val="00030B5A"/>
    <w:rsid w:val="000321B4"/>
    <w:rsid w:val="0003299F"/>
    <w:rsid w:val="000444ED"/>
    <w:rsid w:val="0005262B"/>
    <w:rsid w:val="00057709"/>
    <w:rsid w:val="0007590A"/>
    <w:rsid w:val="00085389"/>
    <w:rsid w:val="000A7926"/>
    <w:rsid w:val="001438AA"/>
    <w:rsid w:val="00144D68"/>
    <w:rsid w:val="0016357F"/>
    <w:rsid w:val="0017583B"/>
    <w:rsid w:val="00176563"/>
    <w:rsid w:val="00176CE9"/>
    <w:rsid w:val="001806BA"/>
    <w:rsid w:val="001B5842"/>
    <w:rsid w:val="00203A30"/>
    <w:rsid w:val="00210183"/>
    <w:rsid w:val="00210A03"/>
    <w:rsid w:val="00224CEB"/>
    <w:rsid w:val="00226B67"/>
    <w:rsid w:val="002400BA"/>
    <w:rsid w:val="00264DEF"/>
    <w:rsid w:val="0027189B"/>
    <w:rsid w:val="00277B18"/>
    <w:rsid w:val="002F42D3"/>
    <w:rsid w:val="003003E1"/>
    <w:rsid w:val="00301A56"/>
    <w:rsid w:val="00320A23"/>
    <w:rsid w:val="00353BBD"/>
    <w:rsid w:val="00363EB8"/>
    <w:rsid w:val="00364957"/>
    <w:rsid w:val="003C4355"/>
    <w:rsid w:val="003D0B38"/>
    <w:rsid w:val="003D50E1"/>
    <w:rsid w:val="0041040A"/>
    <w:rsid w:val="00411A18"/>
    <w:rsid w:val="004366E0"/>
    <w:rsid w:val="00445BE4"/>
    <w:rsid w:val="00473CAB"/>
    <w:rsid w:val="004824DE"/>
    <w:rsid w:val="0049372A"/>
    <w:rsid w:val="004B566F"/>
    <w:rsid w:val="004D11B2"/>
    <w:rsid w:val="004E41AA"/>
    <w:rsid w:val="004E6B66"/>
    <w:rsid w:val="00506B08"/>
    <w:rsid w:val="00507FA6"/>
    <w:rsid w:val="00512003"/>
    <w:rsid w:val="00515336"/>
    <w:rsid w:val="005156B0"/>
    <w:rsid w:val="005265C0"/>
    <w:rsid w:val="005442C4"/>
    <w:rsid w:val="0058545A"/>
    <w:rsid w:val="0058563A"/>
    <w:rsid w:val="005B08DF"/>
    <w:rsid w:val="005D6E8C"/>
    <w:rsid w:val="005E149F"/>
    <w:rsid w:val="00604E92"/>
    <w:rsid w:val="0060524C"/>
    <w:rsid w:val="0063056C"/>
    <w:rsid w:val="006449DA"/>
    <w:rsid w:val="0065088C"/>
    <w:rsid w:val="00664DBE"/>
    <w:rsid w:val="00680DB7"/>
    <w:rsid w:val="006A2E37"/>
    <w:rsid w:val="006A35D4"/>
    <w:rsid w:val="006B61D6"/>
    <w:rsid w:val="006B74C5"/>
    <w:rsid w:val="006C0020"/>
    <w:rsid w:val="006F4BBD"/>
    <w:rsid w:val="007166C2"/>
    <w:rsid w:val="007360C5"/>
    <w:rsid w:val="00736DF1"/>
    <w:rsid w:val="00741F34"/>
    <w:rsid w:val="0076471D"/>
    <w:rsid w:val="007928CD"/>
    <w:rsid w:val="007A7E79"/>
    <w:rsid w:val="007E0C87"/>
    <w:rsid w:val="007E3C54"/>
    <w:rsid w:val="007F56E9"/>
    <w:rsid w:val="007F71CA"/>
    <w:rsid w:val="0080582F"/>
    <w:rsid w:val="00810AD5"/>
    <w:rsid w:val="0082563C"/>
    <w:rsid w:val="00825B8A"/>
    <w:rsid w:val="00873C15"/>
    <w:rsid w:val="0088510A"/>
    <w:rsid w:val="00890425"/>
    <w:rsid w:val="008C40D5"/>
    <w:rsid w:val="008C64E7"/>
    <w:rsid w:val="00907E03"/>
    <w:rsid w:val="0092135C"/>
    <w:rsid w:val="00947AC0"/>
    <w:rsid w:val="00954779"/>
    <w:rsid w:val="00967817"/>
    <w:rsid w:val="00992CBF"/>
    <w:rsid w:val="00993139"/>
    <w:rsid w:val="009A2D98"/>
    <w:rsid w:val="009B571D"/>
    <w:rsid w:val="009D47AE"/>
    <w:rsid w:val="009E73B7"/>
    <w:rsid w:val="00A12FAC"/>
    <w:rsid w:val="00A3765E"/>
    <w:rsid w:val="00A57FB9"/>
    <w:rsid w:val="00AA116E"/>
    <w:rsid w:val="00AD3BA6"/>
    <w:rsid w:val="00AD5B1C"/>
    <w:rsid w:val="00AD60F2"/>
    <w:rsid w:val="00AE3674"/>
    <w:rsid w:val="00B35EB0"/>
    <w:rsid w:val="00B47FB0"/>
    <w:rsid w:val="00B86013"/>
    <w:rsid w:val="00B86B41"/>
    <w:rsid w:val="00B913BD"/>
    <w:rsid w:val="00B92327"/>
    <w:rsid w:val="00B957C9"/>
    <w:rsid w:val="00BF5E64"/>
    <w:rsid w:val="00C23640"/>
    <w:rsid w:val="00C35656"/>
    <w:rsid w:val="00C462EE"/>
    <w:rsid w:val="00C518A6"/>
    <w:rsid w:val="00C547F3"/>
    <w:rsid w:val="00C66FA4"/>
    <w:rsid w:val="00C93777"/>
    <w:rsid w:val="00CD0EC7"/>
    <w:rsid w:val="00CE1C06"/>
    <w:rsid w:val="00CE69CA"/>
    <w:rsid w:val="00D00B55"/>
    <w:rsid w:val="00D5708A"/>
    <w:rsid w:val="00D77081"/>
    <w:rsid w:val="00D82BA6"/>
    <w:rsid w:val="00D87309"/>
    <w:rsid w:val="00DB5DFC"/>
    <w:rsid w:val="00DC0373"/>
    <w:rsid w:val="00DE167E"/>
    <w:rsid w:val="00DF2AAF"/>
    <w:rsid w:val="00E8162C"/>
    <w:rsid w:val="00EA31C1"/>
    <w:rsid w:val="00EA6DFE"/>
    <w:rsid w:val="00EB2C0B"/>
    <w:rsid w:val="00EB553F"/>
    <w:rsid w:val="00ED49FD"/>
    <w:rsid w:val="00EF5319"/>
    <w:rsid w:val="00EF5B8F"/>
    <w:rsid w:val="00EF78D3"/>
    <w:rsid w:val="00F07951"/>
    <w:rsid w:val="00F218EE"/>
    <w:rsid w:val="00F22BF6"/>
    <w:rsid w:val="00F71CC0"/>
    <w:rsid w:val="00FA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E35D"/>
  <w15:docId w15:val="{7D4BBC68-47D7-B94F-B0CB-F211AEA4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5F84"/>
    <w:rPr>
      <w:color w:val="00000A"/>
      <w:sz w:val="24"/>
    </w:rPr>
  </w:style>
  <w:style w:type="paragraph" w:styleId="Nadpis1">
    <w:name w:val="heading 1"/>
    <w:basedOn w:val="Nadpis"/>
    <w:qFormat/>
    <w:rsid w:val="00C65F84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qFormat/>
    <w:rsid w:val="00C65F8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qFormat/>
    <w:rsid w:val="00C65F84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5">
    <w:name w:val="heading 5"/>
    <w:basedOn w:val="Nadpis"/>
    <w:qFormat/>
    <w:rsid w:val="00C65F84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dpis6">
    <w:name w:val="heading 6"/>
    <w:basedOn w:val="Nadpis"/>
    <w:qFormat/>
    <w:rsid w:val="00C65F84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C65F84"/>
  </w:style>
  <w:style w:type="character" w:customStyle="1" w:styleId="Odrky">
    <w:name w:val="Odrážky"/>
    <w:qFormat/>
    <w:rsid w:val="00C65F84"/>
    <w:rPr>
      <w:rFonts w:ascii="OpenSymbol" w:eastAsia="OpenSymbol" w:hAnsi="OpenSymbol" w:cs="OpenSymbol"/>
    </w:rPr>
  </w:style>
  <w:style w:type="character" w:customStyle="1" w:styleId="ListLabel68">
    <w:name w:val="ListLabel 68"/>
    <w:qFormat/>
    <w:rsid w:val="00C65F84"/>
    <w:rPr>
      <w:b/>
    </w:rPr>
  </w:style>
  <w:style w:type="character" w:customStyle="1" w:styleId="ListLabel69">
    <w:name w:val="ListLabel 69"/>
    <w:qFormat/>
    <w:rsid w:val="00C65F84"/>
    <w:rPr>
      <w:rFonts w:cs="Wingdings"/>
    </w:rPr>
  </w:style>
  <w:style w:type="character" w:customStyle="1" w:styleId="ListLabel33">
    <w:name w:val="ListLabel 33"/>
    <w:qFormat/>
    <w:rsid w:val="00C65F84"/>
    <w:rPr>
      <w:b/>
    </w:rPr>
  </w:style>
  <w:style w:type="character" w:customStyle="1" w:styleId="ListLabel34">
    <w:name w:val="ListLabel 34"/>
    <w:qFormat/>
    <w:rsid w:val="00C65F84"/>
    <w:rPr>
      <w:b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65F84"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65F84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C7CC1"/>
    <w:rPr>
      <w:rFonts w:ascii="Tahoma" w:hAnsi="Tahoma" w:cs="Mangal"/>
      <w:sz w:val="16"/>
      <w:szCs w:val="1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87A1A"/>
    <w:rPr>
      <w:rFonts w:cs="Mangal"/>
      <w:b/>
      <w:bCs/>
      <w:sz w:val="20"/>
      <w:szCs w:val="18"/>
    </w:rPr>
  </w:style>
  <w:style w:type="character" w:customStyle="1" w:styleId="ListLabel70">
    <w:name w:val="ListLabel 70"/>
    <w:qFormat/>
    <w:rsid w:val="00D42E5D"/>
    <w:rPr>
      <w:sz w:val="20"/>
    </w:rPr>
  </w:style>
  <w:style w:type="character" w:customStyle="1" w:styleId="Internetovodkaz">
    <w:name w:val="Internetový odkaz"/>
    <w:basedOn w:val="Standardnpsmoodstavce"/>
    <w:uiPriority w:val="99"/>
    <w:unhideWhenUsed/>
    <w:rsid w:val="00CB110F"/>
    <w:rPr>
      <w:color w:val="0000FF" w:themeColor="hyperlink"/>
      <w:u w:val="single"/>
    </w:rPr>
  </w:style>
  <w:style w:type="character" w:customStyle="1" w:styleId="ListLabel71">
    <w:name w:val="ListLabel 71"/>
    <w:qFormat/>
    <w:rPr>
      <w:rFonts w:cs="Symbol"/>
      <w:sz w:val="20"/>
    </w:rPr>
  </w:style>
  <w:style w:type="character" w:customStyle="1" w:styleId="ListLabel72">
    <w:name w:val="ListLabel 72"/>
    <w:qFormat/>
    <w:rPr>
      <w:rFonts w:cs="Courier New"/>
      <w:sz w:val="20"/>
    </w:rPr>
  </w:style>
  <w:style w:type="character" w:customStyle="1" w:styleId="ListLabel73">
    <w:name w:val="ListLabel 73"/>
    <w:qFormat/>
    <w:rPr>
      <w:rFonts w:cs="Wingdings"/>
      <w:sz w:val="20"/>
    </w:rPr>
  </w:style>
  <w:style w:type="character" w:customStyle="1" w:styleId="ListLabel74">
    <w:name w:val="ListLabel 74"/>
    <w:qFormat/>
    <w:rPr>
      <w:rFonts w:cs="Wingdings"/>
      <w:sz w:val="20"/>
    </w:rPr>
  </w:style>
  <w:style w:type="character" w:customStyle="1" w:styleId="ListLabel75">
    <w:name w:val="ListLabel 75"/>
    <w:qFormat/>
    <w:rPr>
      <w:rFonts w:cs="Wingdings"/>
      <w:sz w:val="20"/>
    </w:rPr>
  </w:style>
  <w:style w:type="character" w:customStyle="1" w:styleId="ListLabel76">
    <w:name w:val="ListLabel 76"/>
    <w:qFormat/>
    <w:rPr>
      <w:rFonts w:cs="Wingdings"/>
      <w:sz w:val="20"/>
    </w:rPr>
  </w:style>
  <w:style w:type="character" w:customStyle="1" w:styleId="ListLabel77">
    <w:name w:val="ListLabel 77"/>
    <w:qFormat/>
    <w:rPr>
      <w:rFonts w:cs="Wingdings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Symbol"/>
      <w:sz w:val="20"/>
    </w:rPr>
  </w:style>
  <w:style w:type="character" w:customStyle="1" w:styleId="ListLabel81">
    <w:name w:val="ListLabel 81"/>
    <w:qFormat/>
    <w:rPr>
      <w:rFonts w:cs="Courier New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Courier New"/>
      <w:sz w:val="20"/>
    </w:rPr>
  </w:style>
  <w:style w:type="character" w:customStyle="1" w:styleId="ListLabel91">
    <w:name w:val="ListLabel 91"/>
    <w:qFormat/>
    <w:rPr>
      <w:rFonts w:cs="Wingdings"/>
      <w:sz w:val="20"/>
    </w:rPr>
  </w:style>
  <w:style w:type="character" w:customStyle="1" w:styleId="ListLabel92">
    <w:name w:val="ListLabel 92"/>
    <w:qFormat/>
    <w:rPr>
      <w:rFonts w:cs="Wingdings"/>
      <w:sz w:val="20"/>
    </w:rPr>
  </w:style>
  <w:style w:type="character" w:customStyle="1" w:styleId="ListLabel93">
    <w:name w:val="ListLabel 93"/>
    <w:qFormat/>
    <w:rPr>
      <w:rFonts w:cs="Wingdings"/>
      <w:sz w:val="20"/>
    </w:rPr>
  </w:style>
  <w:style w:type="character" w:customStyle="1" w:styleId="ListLabel94">
    <w:name w:val="ListLabel 94"/>
    <w:qFormat/>
    <w:rPr>
      <w:rFonts w:cs="Wingdings"/>
      <w:sz w:val="20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Wingdings"/>
      <w:sz w:val="20"/>
    </w:rPr>
  </w:style>
  <w:style w:type="character" w:customStyle="1" w:styleId="ListLabel97">
    <w:name w:val="ListLabel 97"/>
    <w:qFormat/>
    <w:rPr>
      <w:rFonts w:cs="Wingdings"/>
      <w:sz w:val="20"/>
    </w:rPr>
  </w:style>
  <w:style w:type="character" w:customStyle="1" w:styleId="ListLabel98">
    <w:name w:val="ListLabel 98"/>
    <w:qFormat/>
    <w:rPr>
      <w:b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E3130"/>
    <w:rPr>
      <w:rFonts w:cs="Mangal"/>
      <w:szCs w:val="21"/>
    </w:rPr>
  </w:style>
  <w:style w:type="character" w:customStyle="1" w:styleId="TextkomenteChar3">
    <w:name w:val="Text komentáře Char3"/>
    <w:uiPriority w:val="99"/>
    <w:semiHidden/>
    <w:qFormat/>
    <w:rsid w:val="006B7CF9"/>
    <w:rPr>
      <w:rFonts w:ascii="Arial" w:hAnsi="Arial" w:cs="Arial"/>
      <w:lang w:eastAsia="zh-CN"/>
    </w:rPr>
  </w:style>
  <w:style w:type="character" w:customStyle="1" w:styleId="ListLabel99">
    <w:name w:val="ListLabel 99"/>
    <w:qFormat/>
    <w:rPr>
      <w:rFonts w:cs="Symbol"/>
      <w:sz w:val="20"/>
    </w:rPr>
  </w:style>
  <w:style w:type="character" w:customStyle="1" w:styleId="ListLabel100">
    <w:name w:val="ListLabel 100"/>
    <w:qFormat/>
    <w:rPr>
      <w:rFonts w:cs="Courier New"/>
      <w:sz w:val="20"/>
    </w:rPr>
  </w:style>
  <w:style w:type="character" w:customStyle="1" w:styleId="ListLabel101">
    <w:name w:val="ListLabel 101"/>
    <w:qFormat/>
    <w:rPr>
      <w:rFonts w:cs="Wingdings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cs="Symbol"/>
      <w:sz w:val="20"/>
    </w:rPr>
  </w:style>
  <w:style w:type="character" w:customStyle="1" w:styleId="ListLabel109">
    <w:name w:val="ListLabel 109"/>
    <w:qFormat/>
    <w:rPr>
      <w:rFonts w:cs="Courier New"/>
      <w:sz w:val="20"/>
    </w:rPr>
  </w:style>
  <w:style w:type="character" w:customStyle="1" w:styleId="ListLabel110">
    <w:name w:val="ListLabel 110"/>
    <w:qFormat/>
    <w:rPr>
      <w:rFonts w:cs="Wingdings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rFonts w:cs="Wingdings"/>
      <w:sz w:val="20"/>
    </w:rPr>
  </w:style>
  <w:style w:type="character" w:customStyle="1" w:styleId="ListLabel116">
    <w:name w:val="ListLabel 116"/>
    <w:qFormat/>
    <w:rPr>
      <w:rFonts w:cs="Wingdings"/>
      <w:sz w:val="20"/>
    </w:rPr>
  </w:style>
  <w:style w:type="character" w:customStyle="1" w:styleId="ListLabel117">
    <w:name w:val="ListLabel 117"/>
    <w:qFormat/>
    <w:rPr>
      <w:rFonts w:cs="Symbol"/>
      <w:sz w:val="20"/>
    </w:rPr>
  </w:style>
  <w:style w:type="character" w:customStyle="1" w:styleId="ListLabel118">
    <w:name w:val="ListLabel 118"/>
    <w:qFormat/>
    <w:rPr>
      <w:rFonts w:cs="Courier New"/>
      <w:sz w:val="20"/>
    </w:rPr>
  </w:style>
  <w:style w:type="character" w:customStyle="1" w:styleId="ListLabel119">
    <w:name w:val="ListLabel 119"/>
    <w:qFormat/>
    <w:rPr>
      <w:rFonts w:cs="Wingdings"/>
      <w:sz w:val="20"/>
    </w:rPr>
  </w:style>
  <w:style w:type="character" w:customStyle="1" w:styleId="ListLabel120">
    <w:name w:val="ListLabel 120"/>
    <w:qFormat/>
    <w:rPr>
      <w:rFonts w:cs="Wingdings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b/>
    </w:rPr>
  </w:style>
  <w:style w:type="character" w:customStyle="1" w:styleId="ListLabel127">
    <w:name w:val="ListLabel 127"/>
    <w:qFormat/>
    <w:rPr>
      <w:b/>
      <w:sz w:val="24"/>
    </w:rPr>
  </w:style>
  <w:style w:type="character" w:customStyle="1" w:styleId="ListLabel128">
    <w:name w:val="ListLabel 128"/>
    <w:qFormat/>
    <w:rPr>
      <w:color w:val="00000A"/>
      <w:sz w:val="22"/>
      <w:u w:val="none"/>
    </w:rPr>
  </w:style>
  <w:style w:type="paragraph" w:customStyle="1" w:styleId="Nadpis">
    <w:name w:val="Nadpis"/>
    <w:basedOn w:val="Normln"/>
    <w:next w:val="Zkladntext"/>
    <w:qFormat/>
    <w:rsid w:val="00C65F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C65F84"/>
    <w:pPr>
      <w:spacing w:after="140" w:line="288" w:lineRule="auto"/>
    </w:pPr>
  </w:style>
  <w:style w:type="paragraph" w:styleId="Seznam">
    <w:name w:val="List"/>
    <w:basedOn w:val="Zkladntext"/>
    <w:rsid w:val="00C65F84"/>
  </w:style>
  <w:style w:type="paragraph" w:styleId="Titulek">
    <w:name w:val="caption"/>
    <w:basedOn w:val="Normln"/>
    <w:qFormat/>
    <w:rsid w:val="00C65F8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C65F84"/>
    <w:pPr>
      <w:suppressLineNumbers/>
    </w:pPr>
  </w:style>
  <w:style w:type="paragraph" w:customStyle="1" w:styleId="Obsahtabulky">
    <w:name w:val="Obsah tabulky"/>
    <w:basedOn w:val="Normln"/>
    <w:qFormat/>
    <w:rsid w:val="00C65F84"/>
    <w:pPr>
      <w:suppressLineNumbers/>
    </w:pPr>
  </w:style>
  <w:style w:type="paragraph" w:customStyle="1" w:styleId="Nadpistabulky">
    <w:name w:val="Nadpis tabulky"/>
    <w:basedOn w:val="Obsahtabulky"/>
    <w:qFormat/>
    <w:rsid w:val="00C65F84"/>
    <w:pPr>
      <w:jc w:val="center"/>
    </w:pPr>
    <w:rPr>
      <w:b/>
      <w:bCs/>
    </w:rPr>
  </w:style>
  <w:style w:type="paragraph" w:styleId="Zpat">
    <w:name w:val="footer"/>
    <w:basedOn w:val="Normln"/>
    <w:rsid w:val="00C65F84"/>
    <w:pPr>
      <w:suppressLineNumbers/>
      <w:tabs>
        <w:tab w:val="center" w:pos="4819"/>
        <w:tab w:val="right" w:pos="9638"/>
      </w:tabs>
    </w:pPr>
  </w:style>
  <w:style w:type="paragraph" w:styleId="Odstavecseseznamem">
    <w:name w:val="List Paragraph"/>
    <w:basedOn w:val="Normln"/>
    <w:qFormat/>
    <w:rsid w:val="00C65F84"/>
    <w:pPr>
      <w:spacing w:after="80"/>
      <w:ind w:left="720"/>
      <w:contextualSpacing/>
    </w:pPr>
  </w:style>
  <w:style w:type="paragraph" w:customStyle="1" w:styleId="Bodvlnku">
    <w:name w:val="Bod v článku"/>
    <w:basedOn w:val="Normln"/>
    <w:qFormat/>
    <w:rsid w:val="00C65F84"/>
    <w:pPr>
      <w:spacing w:after="120" w:line="276" w:lineRule="auto"/>
    </w:pPr>
    <w:rPr>
      <w:rFonts w:cs="Calibri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65F84"/>
    <w:rPr>
      <w:rFonts w:cs="Mangal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C7CC1"/>
    <w:rPr>
      <w:rFonts w:ascii="Tahoma" w:hAnsi="Tahoma" w:cs="Mangal"/>
      <w:sz w:val="16"/>
      <w:szCs w:val="14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87A1A"/>
    <w:rPr>
      <w:b/>
      <w:bCs/>
    </w:rPr>
  </w:style>
  <w:style w:type="paragraph" w:styleId="Normlnweb">
    <w:name w:val="Normal (Web)"/>
    <w:basedOn w:val="Normln"/>
    <w:uiPriority w:val="99"/>
    <w:semiHidden/>
    <w:unhideWhenUsed/>
    <w:qFormat/>
    <w:rsid w:val="00D42E5D"/>
    <w:pPr>
      <w:spacing w:beforeAutospacing="1" w:after="142" w:line="288" w:lineRule="auto"/>
    </w:pPr>
    <w:rPr>
      <w:rFonts w:ascii="Times New Roman" w:eastAsia="Times New Roman" w:hAnsi="Times New Roman" w:cs="Times New Roman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BE3130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6A2E37"/>
    <w:pPr>
      <w:suppressAutoHyphens/>
      <w:spacing w:after="120" w:line="480" w:lineRule="auto"/>
    </w:pPr>
    <w:rPr>
      <w:rFonts w:ascii="Arial" w:eastAsia="Times New Roman" w:hAnsi="Arial"/>
      <w:color w:val="auto"/>
      <w:sz w:val="22"/>
      <w:lang w:bidi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A2E37"/>
    <w:rPr>
      <w:rFonts w:ascii="Arial" w:eastAsia="Times New Roman" w:hAnsi="Arial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D158-CC87-4871-AB3A-F8368B9D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4682</Characters>
  <Application>Microsoft Office Word</Application>
  <DocSecurity>4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Lvová</dc:creator>
  <cp:lastModifiedBy>Šišková Jana</cp:lastModifiedBy>
  <cp:revision>2</cp:revision>
  <cp:lastPrinted>2023-04-12T12:31:00Z</cp:lastPrinted>
  <dcterms:created xsi:type="dcterms:W3CDTF">2023-04-12T14:18:00Z</dcterms:created>
  <dcterms:modified xsi:type="dcterms:W3CDTF">2023-04-12T14:18:00Z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