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A5" w:rsidRDefault="00C54226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0A5" w:rsidRDefault="006870A5">
      <w:pPr>
        <w:spacing w:after="556" w:line="1" w:lineRule="exact"/>
      </w:pPr>
    </w:p>
    <w:p w:rsidR="006870A5" w:rsidRDefault="006870A5">
      <w:pPr>
        <w:spacing w:line="1" w:lineRule="exact"/>
        <w:sectPr w:rsidR="006870A5">
          <w:footerReference w:type="default" r:id="rId7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6870A5" w:rsidRDefault="006870A5">
      <w:pPr>
        <w:spacing w:before="19" w:after="19" w:line="240" w:lineRule="exact"/>
        <w:rPr>
          <w:sz w:val="19"/>
          <w:szCs w:val="19"/>
        </w:rPr>
      </w:pPr>
    </w:p>
    <w:p w:rsidR="006870A5" w:rsidRDefault="006870A5">
      <w:pPr>
        <w:spacing w:line="1" w:lineRule="exact"/>
        <w:sectPr w:rsidR="006870A5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6870A5" w:rsidRDefault="00C54226">
      <w:pPr>
        <w:pStyle w:val="Style5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t>Povodí Ohře, státní podnik</w:t>
      </w:r>
    </w:p>
    <w:p w:rsidR="006870A5" w:rsidRDefault="00C54226">
      <w:pPr>
        <w:pStyle w:val="Style5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70A5" w:rsidRDefault="00C54226">
                            <w:pPr>
                              <w:pStyle w:val="Style5"/>
                              <w:shd w:val="clear" w:color="auto" w:fill="auto"/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Konfirmace / Confirmation</w:t>
                            </w:r>
                          </w:p>
                          <w:p w:rsidR="006870A5" w:rsidRDefault="00C54226">
                            <w:pPr>
                              <w:pStyle w:val="Style5"/>
                              <w:shd w:val="clear" w:color="auto" w:fill="auto"/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7.7pt;margin-top:10pt;width:207.6pt;height:40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" filled="f" stroked="f">
                <v:textbox inset="0,0,0,0">
                  <w:txbxContent>
                    <w:p w:rsidR="006870A5" w:rsidRDefault="00C54226">
                      <w:pPr>
                        <w:pStyle w:val="Style5"/>
                        <w:shd w:val="clear" w:color="auto" w:fill="auto"/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Konfirmace / Confirmation</w:t>
                      </w:r>
                    </w:p>
                    <w:p w:rsidR="006870A5" w:rsidRDefault="00C54226">
                      <w:pPr>
                        <w:pStyle w:val="Style5"/>
                        <w:shd w:val="clear" w:color="auto" w:fill="auto"/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6870A5" w:rsidRDefault="00C54226">
      <w:pPr>
        <w:pStyle w:val="Style5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6870A5" w:rsidRDefault="00C54226">
      <w:pPr>
        <w:pStyle w:val="Style9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7443778 </w:t>
      </w:r>
      <w:r>
        <w:t xml:space="preserve">Datum Konfirmace / Confirmation Date: </w:t>
      </w:r>
      <w:r>
        <w:rPr>
          <w:b/>
          <w:bCs/>
          <w:sz w:val="19"/>
          <w:szCs w:val="19"/>
        </w:rPr>
        <w:t>05.04.2023</w:t>
      </w:r>
    </w:p>
    <w:p w:rsidR="006870A5" w:rsidRDefault="00C54226">
      <w:pPr>
        <w:pStyle w:val="Style9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31570010000000004460RBCZCRA202304057443778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2904"/>
        <w:gridCol w:w="3341"/>
      </w:tblGrid>
      <w:tr w:rsidR="006870A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0A5" w:rsidRDefault="006870A5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0A5" w:rsidRDefault="00C54226">
            <w:pPr>
              <w:pStyle w:val="Style13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6870A5" w:rsidRDefault="006870A5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8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6870A5" w:rsidRDefault="006870A5">
      <w:pPr>
        <w:spacing w:after="259" w:line="1" w:lineRule="exact"/>
      </w:pPr>
    </w:p>
    <w:p w:rsidR="006870A5" w:rsidRDefault="00C54226">
      <w:pPr>
        <w:pStyle w:val="Style5"/>
        <w:shd w:val="clear" w:color="auto" w:fill="auto"/>
        <w:spacing w:after="0"/>
        <w:jc w:val="both"/>
      </w:pPr>
      <w:r>
        <w:t>Vážený Kliente,</w:t>
      </w:r>
    </w:p>
    <w:p w:rsidR="006870A5" w:rsidRDefault="00C54226">
      <w:pPr>
        <w:pStyle w:val="Style5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6870A5" w:rsidRDefault="00C54226">
      <w:pPr>
        <w:pStyle w:val="Style5"/>
        <w:shd w:val="clear" w:color="auto" w:fill="auto"/>
        <w:spacing w:after="0" w:line="266" w:lineRule="auto"/>
        <w:jc w:val="both"/>
      </w:pPr>
      <w:r>
        <w:t>Dear Client,</w:t>
      </w:r>
    </w:p>
    <w:p w:rsidR="006870A5" w:rsidRDefault="00C54226">
      <w:pPr>
        <w:pStyle w:val="Style5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198"/>
        <w:gridCol w:w="2198"/>
        <w:gridCol w:w="2208"/>
      </w:tblGrid>
      <w:tr w:rsidR="006870A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05.04.2023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05.04.2023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19.04.2023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183 339 000,00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6870A5" w:rsidRDefault="00C54226">
            <w:pPr>
              <w:pStyle w:val="Style13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6870A5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70A5" w:rsidRDefault="006870A5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6870A5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6870A5" w:rsidRDefault="006870A5">
      <w:pPr>
        <w:spacing w:after="259" w:line="1" w:lineRule="exact"/>
      </w:pPr>
    </w:p>
    <w:p w:rsidR="006870A5" w:rsidRDefault="00C54226">
      <w:pPr>
        <w:pStyle w:val="Style5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6870A5" w:rsidRDefault="00C54226">
      <w:pPr>
        <w:pStyle w:val="Style5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406"/>
      </w:tblGrid>
      <w:tr w:rsidR="006870A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Rámcová smlouva uzavřená dne / Treasury Master Agreement signed on </w:t>
            </w:r>
            <w:r>
              <w:rPr>
                <w:sz w:val="17"/>
                <w:szCs w:val="17"/>
              </w:rPr>
              <w:t>28.01.2019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0A5" w:rsidRDefault="006870A5">
            <w:pPr>
              <w:rPr>
                <w:sz w:val="10"/>
                <w:szCs w:val="10"/>
              </w:rPr>
            </w:pPr>
          </w:p>
        </w:tc>
      </w:tr>
      <w:tr w:rsidR="006870A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6870A5" w:rsidRDefault="00C54226">
            <w:pPr>
              <w:pStyle w:val="Style13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0A5" w:rsidRDefault="006870A5">
            <w:pPr>
              <w:pStyle w:val="Style13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C54226" w:rsidRDefault="00C54226"/>
    <w:sectPr w:rsidR="00C54226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226" w:rsidRDefault="00C54226">
      <w:r>
        <w:separator/>
      </w:r>
    </w:p>
  </w:endnote>
  <w:endnote w:type="continuationSeparator" w:id="0">
    <w:p w:rsidR="00C54226" w:rsidRDefault="00C5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A5" w:rsidRDefault="00C542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0A5" w:rsidRDefault="00C54226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6870A5" w:rsidRDefault="00C54226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Raiffeisenbank a.s., Hvězdova 1716/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2b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6870A5" w:rsidRDefault="00C54226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6870A5" w:rsidRDefault="00C54226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Raiffeisenbank a.s., Hvězdova 1716/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2b</w:t>
                    </w:r>
                    <w:proofErr w:type="gramEnd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226" w:rsidRDefault="00C54226"/>
  </w:footnote>
  <w:footnote w:type="continuationSeparator" w:id="0">
    <w:p w:rsidR="00C54226" w:rsidRDefault="00C542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A5"/>
    <w:rsid w:val="006870A5"/>
    <w:rsid w:val="0075061F"/>
    <w:rsid w:val="00C5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9977"/>
  <w15:docId w15:val="{565C509E-28C2-4D7F-88E3-C6452F35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@poh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Lachmanová</dc:creator>
  <cp:lastModifiedBy>Ing. Irena Lachmanová</cp:lastModifiedBy>
  <cp:revision>2</cp:revision>
  <dcterms:created xsi:type="dcterms:W3CDTF">2023-04-12T04:43:00Z</dcterms:created>
  <dcterms:modified xsi:type="dcterms:W3CDTF">2023-04-12T04:43:00Z</dcterms:modified>
</cp:coreProperties>
</file>