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935" w:rsidRDefault="00885EA5">
      <w:pPr>
        <w:spacing w:after="0" w:line="259" w:lineRule="auto"/>
        <w:ind w:left="0" w:firstLine="0"/>
        <w:jc w:val="center"/>
      </w:pPr>
      <w:r>
        <w:rPr>
          <w:sz w:val="30"/>
        </w:rPr>
        <w:t>Smlouva o pronájmu nemovitosti k umístění reklamního zařízení</w:t>
      </w:r>
    </w:p>
    <w:p w:rsidR="00855935" w:rsidRDefault="00885EA5">
      <w:pPr>
        <w:spacing w:after="511" w:line="265" w:lineRule="auto"/>
        <w:ind w:left="10" w:hanging="10"/>
        <w:jc w:val="center"/>
      </w:pPr>
      <w:r>
        <w:t>uzavřená mezi</w:t>
      </w:r>
    </w:p>
    <w:p w:rsidR="00855935" w:rsidRDefault="00885EA5">
      <w:pPr>
        <w:numPr>
          <w:ilvl w:val="0"/>
          <w:numId w:val="1"/>
        </w:numPr>
        <w:spacing w:after="3" w:line="216" w:lineRule="auto"/>
        <w:ind w:right="2233" w:hanging="425"/>
        <w:jc w:val="left"/>
      </w:pPr>
      <w:r>
        <w:t>Město Bruntál se sídlem Nádražní 994/20, Bruntál, PSČ 792 01 IČO: 00295892, DIČ: CZ00295892 zastoupené společností TS Bruntál, s.r.o.</w:t>
      </w:r>
    </w:p>
    <w:p w:rsidR="00855935" w:rsidRDefault="00885EA5">
      <w:pPr>
        <w:ind w:left="439" w:right="14" w:firstLine="0"/>
      </w:pPr>
      <w:r>
        <w:t xml:space="preserve">se sídlem Bruntál, Zeyerova 1489/12, </w:t>
      </w:r>
      <w:r w:rsidR="00FA4F0D">
        <w:t>PSČ</w:t>
      </w:r>
      <w:r>
        <w:t xml:space="preserve"> 792 01</w:t>
      </w:r>
    </w:p>
    <w:p w:rsidR="00855935" w:rsidRDefault="00885EA5">
      <w:pPr>
        <w:spacing w:after="0"/>
        <w:ind w:left="439" w:right="533" w:firstLine="0"/>
      </w:pPr>
      <w:r>
        <w:t xml:space="preserve">IČO: 258 23 337, DIC: CZ25823337 zastoupena jednatelem společnosti Ing. Václavem </w:t>
      </w:r>
      <w:proofErr w:type="spellStart"/>
      <w:r>
        <w:t>Frgalem</w:t>
      </w:r>
      <w:proofErr w:type="spellEnd"/>
      <w:r>
        <w:t xml:space="preserve"> zapsaná: v obchodním rejstříku vedeném Krajským soudem v Ostravě, oddíl C, vložka 19499</w:t>
      </w:r>
    </w:p>
    <w:p w:rsidR="00855935" w:rsidRDefault="00885EA5">
      <w:pPr>
        <w:spacing w:after="209"/>
        <w:ind w:left="447" w:right="14" w:firstLine="0"/>
      </w:pPr>
      <w:r>
        <w:t>(dále jen jako ”pronajímatel”)</w:t>
      </w:r>
    </w:p>
    <w:p w:rsidR="00855935" w:rsidRDefault="00885EA5">
      <w:pPr>
        <w:spacing w:after="157" w:line="259" w:lineRule="auto"/>
        <w:ind w:left="0" w:right="43" w:firstLine="0"/>
        <w:jc w:val="center"/>
      </w:pPr>
      <w:r>
        <w:rPr>
          <w:sz w:val="28"/>
        </w:rPr>
        <w:t>a</w:t>
      </w:r>
    </w:p>
    <w:p w:rsidR="00855935" w:rsidRDefault="00885EA5">
      <w:pPr>
        <w:numPr>
          <w:ilvl w:val="0"/>
          <w:numId w:val="1"/>
        </w:numPr>
        <w:spacing w:after="0" w:line="259" w:lineRule="auto"/>
        <w:ind w:right="2233" w:hanging="425"/>
        <w:jc w:val="left"/>
      </w:pPr>
      <w:r>
        <w:rPr>
          <w:sz w:val="26"/>
        </w:rPr>
        <w:t xml:space="preserve">Harta </w:t>
      </w:r>
      <w:proofErr w:type="spellStart"/>
      <w:r>
        <w:rPr>
          <w:sz w:val="26"/>
        </w:rPr>
        <w:t>Silesia</w:t>
      </w:r>
      <w:proofErr w:type="spellEnd"/>
      <w:r>
        <w:rPr>
          <w:sz w:val="26"/>
        </w:rPr>
        <w:t xml:space="preserve"> s.r.o.</w:t>
      </w:r>
    </w:p>
    <w:p w:rsidR="00855935" w:rsidRDefault="00885EA5">
      <w:pPr>
        <w:ind w:left="439" w:right="14" w:firstLine="0"/>
      </w:pPr>
      <w:r>
        <w:t>se sídlem Mezina 152, Bruntál, PSČ 792 01</w:t>
      </w:r>
    </w:p>
    <w:p w:rsidR="00855935" w:rsidRDefault="00885EA5">
      <w:pPr>
        <w:pStyle w:val="Nadpis1"/>
        <w:spacing w:after="0"/>
        <w:ind w:left="439" w:firstLine="0"/>
        <w:jc w:val="left"/>
      </w:pPr>
      <w:r>
        <w:rPr>
          <w:rFonts w:ascii="Courier New" w:eastAsia="Courier New" w:hAnsi="Courier New" w:cs="Courier New"/>
          <w:sz w:val="20"/>
        </w:rPr>
        <w:t>IČO: 065 37 936</w:t>
      </w:r>
    </w:p>
    <w:p w:rsidR="00855935" w:rsidRDefault="00885EA5">
      <w:pPr>
        <w:spacing w:after="32" w:line="259" w:lineRule="auto"/>
        <w:ind w:left="115" w:right="0" w:firstLine="0"/>
        <w:jc w:val="left"/>
      </w:pPr>
      <w:r>
        <w:rPr>
          <w:noProof/>
        </w:rPr>
        <w:drawing>
          <wp:inline distT="0" distB="0" distL="0" distR="0">
            <wp:extent cx="2712106" cy="750093"/>
            <wp:effectExtent l="0" t="0" r="0" b="0"/>
            <wp:docPr id="2280" name="Picture 22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0" name="Picture 228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12106" cy="750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935" w:rsidRDefault="00885EA5">
      <w:pPr>
        <w:spacing w:after="180" w:line="265" w:lineRule="auto"/>
        <w:ind w:left="10" w:right="65" w:hanging="10"/>
        <w:jc w:val="center"/>
      </w:pPr>
      <w:r>
        <w:t>takto:</w:t>
      </w:r>
    </w:p>
    <w:p w:rsidR="00855935" w:rsidRDefault="00885EA5">
      <w:pPr>
        <w:spacing w:after="0" w:line="259" w:lineRule="auto"/>
        <w:ind w:left="0" w:right="50" w:firstLine="0"/>
        <w:jc w:val="center"/>
      </w:pPr>
      <w:r>
        <w:rPr>
          <w:sz w:val="26"/>
        </w:rPr>
        <w:t>1.</w:t>
      </w:r>
    </w:p>
    <w:p w:rsidR="00855935" w:rsidRDefault="00885EA5">
      <w:pPr>
        <w:spacing w:after="173" w:line="259" w:lineRule="auto"/>
        <w:ind w:left="0" w:right="58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6151405</wp:posOffset>
            </wp:positionH>
            <wp:positionV relativeFrom="page">
              <wp:posOffset>196671</wp:posOffset>
            </wp:positionV>
            <wp:extent cx="594559" cy="224113"/>
            <wp:effectExtent l="0" t="0" r="0" b="0"/>
            <wp:wrapTopAndBottom/>
            <wp:docPr id="2279" name="Picture 22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9" name="Picture 227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559" cy="224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Vymezení předmětu a účelu nájmu</w:t>
      </w:r>
    </w:p>
    <w:p w:rsidR="00855935" w:rsidRDefault="00885EA5">
      <w:pPr>
        <w:numPr>
          <w:ilvl w:val="0"/>
          <w:numId w:val="2"/>
        </w:numPr>
        <w:spacing w:after="0"/>
        <w:ind w:right="14"/>
      </w:pPr>
      <w:r>
        <w:t xml:space="preserve">Pronajímatel prohlašuje, že je mimo jiné vlastníkem hmotné nemovité věci — jiné stavby čp. 1424 (Dukelská 3), která je součástí pozemku </w:t>
      </w:r>
      <w:proofErr w:type="spellStart"/>
      <w:r>
        <w:t>parc.č</w:t>
      </w:r>
      <w:proofErr w:type="spellEnd"/>
      <w:r>
        <w:t xml:space="preserve">. 2254/3 — zastavěná plocha a </w:t>
      </w:r>
      <w:proofErr w:type="spellStart"/>
      <w:r>
        <w:t>nádvoř</w:t>
      </w:r>
      <w:proofErr w:type="spellEnd"/>
      <w:r>
        <w:t xml:space="preserve">, pozemku </w:t>
      </w:r>
      <w:proofErr w:type="spellStart"/>
      <w:r>
        <w:t>parc.č</w:t>
      </w:r>
      <w:proofErr w:type="spellEnd"/>
      <w:r>
        <w:t xml:space="preserve">. 2260/2 - zastavěná plocha a nádvoří a pozemku </w:t>
      </w:r>
      <w:proofErr w:type="spellStart"/>
      <w:r>
        <w:t>parc.č</w:t>
      </w:r>
      <w:proofErr w:type="spellEnd"/>
      <w:r>
        <w:t xml:space="preserve">. 2257/15 - zastavěná plocha a nádvoří vše v </w:t>
      </w:r>
      <w:proofErr w:type="spellStart"/>
      <w:r>
        <w:t>k.ú</w:t>
      </w:r>
      <w:proofErr w:type="spellEnd"/>
      <w:r>
        <w:t>. Bruntál-město.</w:t>
      </w:r>
    </w:p>
    <w:p w:rsidR="00855935" w:rsidRDefault="00885EA5">
      <w:pPr>
        <w:numPr>
          <w:ilvl w:val="0"/>
          <w:numId w:val="2"/>
        </w:numPr>
        <w:spacing w:after="0"/>
        <w:ind w:right="14"/>
      </w:pPr>
      <w:r>
        <w:t xml:space="preserve">Pronajímatel přenechává na základě této smlouvy do dočasného užívání (pronajímá) nájemci část nemovité věci — popsané v bodě 1 tohoto </w:t>
      </w:r>
      <w:proofErr w:type="gramStart"/>
      <w:r>
        <w:t>článku - sestávající</w:t>
      </w:r>
      <w:proofErr w:type="gramEnd"/>
      <w:r>
        <w:t xml:space="preserve"> z plochy v této nemovité věci o velikosti cca 1,5 m2 v bazénové hale ve vstupní chodbě společné pro </w:t>
      </w:r>
      <w:proofErr w:type="spellStart"/>
      <w:r>
        <w:t>wellness</w:t>
      </w:r>
      <w:proofErr w:type="spellEnd"/>
      <w:r>
        <w:t xml:space="preserve"> centrum, fitness i </w:t>
      </w:r>
      <w:r>
        <w:rPr>
          <w:noProof/>
        </w:rPr>
        <w:drawing>
          <wp:inline distT="0" distB="0" distL="0" distR="0">
            <wp:extent cx="22868" cy="13721"/>
            <wp:effectExtent l="0" t="0" r="0" b="0"/>
            <wp:docPr id="2234" name="Picture 2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4" name="Picture 223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8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restauraci za účelem umístění a provozování nápojového automatu (společně dále též jen jako „věc*' nebo „předmět nájmu'), a to za podmínek stanovených touto smlouvou.</w:t>
      </w:r>
    </w:p>
    <w:p w:rsidR="00855935" w:rsidRDefault="00885EA5">
      <w:pPr>
        <w:numPr>
          <w:ilvl w:val="0"/>
          <w:numId w:val="2"/>
        </w:numPr>
        <w:spacing w:after="0"/>
        <w:ind w:right="14"/>
      </w:pPr>
      <w:r>
        <w:t>Nájemce od pronajímatele v souladu s touto smlouvou a obecně závaznými právními předpisy předmět nájmu najímá, výkon nájmu přijímá a zavazuje se za to platit pronajímateli nájemné. Smluvní strany prohlašují, že toto vymezení předmětu a účelu nájmu, je pro ně dostatečně určité a srozumitelné.</w:t>
      </w:r>
    </w:p>
    <w:p w:rsidR="00855935" w:rsidRDefault="00885EA5">
      <w:pPr>
        <w:numPr>
          <w:ilvl w:val="0"/>
          <w:numId w:val="2"/>
        </w:numPr>
        <w:ind w:right="14"/>
      </w:pPr>
      <w:r>
        <w:t>Předmět nájmu přenechává dle této smlouvy pronajímatel nájemci do jeho dočasného a výhradního užívání, v rozsahu stanoveném touto smlouvou. Předmět nájmu je nájemce oprávněn užívat toliko k</w:t>
      </w:r>
      <w:r w:rsidR="00FA4F0D">
        <w:t> zajištění účelu</w:t>
      </w:r>
      <w:r>
        <w:t xml:space="preserve"> nájmu, jak je uvedeno v bodě 2 (dva) tohoto článku. K předmětu nájmu nebo jeho části není nájemce oprávněn zřídit užívací právo (podnájem, výprosu, výpůjčku) třetím osobám.</w:t>
      </w:r>
    </w:p>
    <w:p w:rsidR="00855935" w:rsidRDefault="00885EA5">
      <w:pPr>
        <w:numPr>
          <w:ilvl w:val="0"/>
          <w:numId w:val="2"/>
        </w:numPr>
        <w:spacing w:after="209"/>
        <w:ind w:right="14"/>
      </w:pPr>
      <w:r>
        <w:t>Smluvní strany se dohodly, že nájemní právo dle této smlouvy nezapíší do veřejného seznamu.</w:t>
      </w:r>
    </w:p>
    <w:p w:rsidR="00855935" w:rsidRDefault="00885EA5">
      <w:pPr>
        <w:spacing w:after="0" w:line="259" w:lineRule="auto"/>
        <w:ind w:left="32" w:right="79" w:hanging="10"/>
        <w:jc w:val="center"/>
      </w:pPr>
      <w:r>
        <w:t>11.</w:t>
      </w:r>
    </w:p>
    <w:p w:rsidR="00855935" w:rsidRDefault="00885EA5">
      <w:pPr>
        <w:pStyle w:val="Nadpis1"/>
        <w:spacing w:after="136"/>
        <w:ind w:left="46" w:right="86"/>
      </w:pPr>
      <w:r>
        <w:t>Cena za pronájem a splatnost</w:t>
      </w:r>
    </w:p>
    <w:p w:rsidR="00855935" w:rsidRDefault="00885EA5">
      <w:pPr>
        <w:numPr>
          <w:ilvl w:val="0"/>
          <w:numId w:val="3"/>
        </w:numPr>
        <w:ind w:right="14" w:hanging="432"/>
      </w:pPr>
      <w:r>
        <w:t>Nájemné je sjednáno dohodou účastníků této smlouvy.</w:t>
      </w:r>
    </w:p>
    <w:p w:rsidR="00855935" w:rsidRDefault="00885EA5">
      <w:pPr>
        <w:numPr>
          <w:ilvl w:val="0"/>
          <w:numId w:val="3"/>
        </w:numPr>
        <w:ind w:right="14" w:hanging="432"/>
      </w:pPr>
      <w:r>
        <w:t>Smluvní strany se dohodly na nájemném za pronajatý předmět nájmu celkem v roční výši</w:t>
      </w:r>
    </w:p>
    <w:p w:rsidR="00855935" w:rsidRDefault="00885EA5">
      <w:pPr>
        <w:spacing w:after="3" w:line="216" w:lineRule="auto"/>
        <w:ind w:left="432" w:right="0" w:firstLine="14"/>
        <w:jc w:val="left"/>
      </w:pPr>
      <w:r>
        <w:lastRenderedPageBreak/>
        <w:t xml:space="preserve">17 400,00 Kč rok (slovy: </w:t>
      </w:r>
      <w:proofErr w:type="spellStart"/>
      <w:r>
        <w:t>sedmnácttisíckorunčeských</w:t>
      </w:r>
      <w:proofErr w:type="spellEnd"/>
      <w:r>
        <w:t xml:space="preserve">), tj. v měsíční výši 1 450,00 Kč (slovy: </w:t>
      </w:r>
      <w:proofErr w:type="spellStart"/>
      <w:r>
        <w:t>tisícčtyřistapadesáttkorunčeských</w:t>
      </w:r>
      <w:proofErr w:type="spellEnd"/>
      <w:r>
        <w:t>). K nájemnému bude účtována daň z přidané hodnoty v zákonné výši.</w:t>
      </w:r>
    </w:p>
    <w:p w:rsidR="00855935" w:rsidRDefault="00885EA5">
      <w:pPr>
        <w:numPr>
          <w:ilvl w:val="0"/>
          <w:numId w:val="3"/>
        </w:numPr>
        <w:spacing w:after="0"/>
        <w:ind w:right="14" w:hanging="432"/>
      </w:pPr>
      <w:r>
        <w:t>Smluvní strany se dohodly na sn</w:t>
      </w:r>
      <w:r w:rsidR="00FA4F0D">
        <w:t>í</w:t>
      </w:r>
      <w:r>
        <w:t xml:space="preserve">žení nájemného na částku 1,00 Kč/den bez DPH ve dnech, po které bude provoz </w:t>
      </w:r>
      <w:proofErr w:type="spellStart"/>
      <w:r>
        <w:t>Wellness</w:t>
      </w:r>
      <w:proofErr w:type="spellEnd"/>
      <w:r>
        <w:t xml:space="preserve"> centra uzavřen na základě rozhodnutí příslušného orgánu. Toto ustanovení je účinné po dobu 18 měsíců od účinnosti této smlouvy. Nájemné za ostatní dny takto neomezeného provozu v daném čtvrtletí, ve kterém dojde k uzavření </w:t>
      </w:r>
      <w:proofErr w:type="spellStart"/>
      <w:r>
        <w:t>Wellness</w:t>
      </w:r>
      <w:proofErr w:type="spellEnd"/>
      <w:r>
        <w:t xml:space="preserve"> centra bude určeno tak, že představuje částku 40,- Kč/den bez DPH.</w:t>
      </w:r>
    </w:p>
    <w:p w:rsidR="00855935" w:rsidRDefault="00885EA5">
      <w:pPr>
        <w:numPr>
          <w:ilvl w:val="0"/>
          <w:numId w:val="3"/>
        </w:numPr>
        <w:ind w:right="14" w:hanging="432"/>
      </w:pPr>
      <w:r>
        <w:t>Nájemné se zvyšuje o roční míru inflace vyhlášené Českým statistickým úřadem, a to počínaje prvním lednem roku následujícího po roce, za který je inflace vyhlášena (nejdříve však od roku 2024).</w:t>
      </w:r>
    </w:p>
    <w:p w:rsidR="00855935" w:rsidRDefault="00885EA5">
      <w:pPr>
        <w:numPr>
          <w:ilvl w:val="0"/>
          <w:numId w:val="3"/>
        </w:numPr>
        <w:ind w:right="14" w:hanging="432"/>
      </w:pPr>
      <w:r>
        <w:t>Ná</w:t>
      </w:r>
      <w:r w:rsidR="00FA4F0D">
        <w:t>j</w:t>
      </w:r>
      <w:r>
        <w:t xml:space="preserve">emné </w:t>
      </w:r>
      <w:r w:rsidR="00FA4F0D">
        <w:t>j</w:t>
      </w:r>
      <w:r>
        <w:t xml:space="preserve">e </w:t>
      </w:r>
      <w:r w:rsidR="00FA4F0D">
        <w:t>p</w:t>
      </w:r>
      <w:r>
        <w:t xml:space="preserve">ovinen lati nájemce čtvrtletně pronajímateli bezhotovostně převodem na účet č. ý u Komerční banky Bruntál, a to ve splatnosti nejpozději do 20. dne </w:t>
      </w:r>
      <w:r w:rsidR="00FA4F0D">
        <w:t>prvního</w:t>
      </w:r>
      <w:r>
        <w:t xml:space="preserve"> </w:t>
      </w:r>
      <w:r w:rsidR="00FA4F0D">
        <w:t>měsíce čtvrtletí</w:t>
      </w:r>
      <w:r>
        <w:t>, za který se platí nájemné na základě faktury s náležitostmi daňového dokladu vystavené pronajímatelem (městem Bruntál) nájemci.</w:t>
      </w:r>
    </w:p>
    <w:p w:rsidR="00855935" w:rsidRDefault="00885EA5">
      <w:pPr>
        <w:numPr>
          <w:ilvl w:val="0"/>
          <w:numId w:val="3"/>
        </w:numPr>
        <w:spacing w:after="151"/>
        <w:ind w:right="14" w:hanging="432"/>
      </w:pPr>
      <w:r>
        <w:t>Povinnost platit nájemné vzniká dnem vzniku nájmu a končí dnem zániku nájmu.</w:t>
      </w:r>
    </w:p>
    <w:p w:rsidR="00855935" w:rsidRDefault="00885EA5">
      <w:pPr>
        <w:spacing w:after="0" w:line="259" w:lineRule="auto"/>
        <w:ind w:left="32" w:right="0" w:hanging="10"/>
        <w:jc w:val="center"/>
      </w:pPr>
      <w:r>
        <w:t>111.</w:t>
      </w:r>
    </w:p>
    <w:p w:rsidR="00855935" w:rsidRDefault="00885EA5">
      <w:pPr>
        <w:pStyle w:val="Nadpis1"/>
        <w:ind w:left="46" w:right="14"/>
      </w:pPr>
      <w:r>
        <w:t>Doba trvání pronájmu</w:t>
      </w:r>
    </w:p>
    <w:p w:rsidR="00855935" w:rsidRDefault="00885EA5">
      <w:pPr>
        <w:tabs>
          <w:tab w:val="center" w:pos="4422"/>
        </w:tabs>
        <w:spacing w:after="162"/>
        <w:ind w:left="0" w:right="0" w:firstLine="0"/>
        <w:jc w:val="left"/>
      </w:pPr>
      <w:r>
        <w:t>1.</w:t>
      </w:r>
      <w:r>
        <w:tab/>
        <w:t>Pronajímatel pronajímá předmět nájmu dle této smlouvy na dobu neurčitou od 1. 4. 2023.</w:t>
      </w:r>
    </w:p>
    <w:p w:rsidR="00855935" w:rsidRDefault="00885EA5">
      <w:pPr>
        <w:spacing w:after="0" w:line="259" w:lineRule="auto"/>
        <w:ind w:left="32" w:right="0" w:hanging="10"/>
        <w:jc w:val="center"/>
      </w:pPr>
      <w:r>
        <w:rPr>
          <w:sz w:val="32"/>
        </w:rPr>
        <w:t>IV.</w:t>
      </w:r>
    </w:p>
    <w:p w:rsidR="00855935" w:rsidRDefault="00885EA5">
      <w:pPr>
        <w:pStyle w:val="Nadpis1"/>
        <w:ind w:left="46" w:right="14"/>
      </w:pPr>
      <w:r>
        <w:t>Skončení nájmu</w:t>
      </w:r>
    </w:p>
    <w:p w:rsidR="00855935" w:rsidRDefault="00885EA5">
      <w:pPr>
        <w:numPr>
          <w:ilvl w:val="0"/>
          <w:numId w:val="4"/>
        </w:numPr>
        <w:spacing w:after="265"/>
        <w:ind w:right="14"/>
      </w:pPr>
      <w:r>
        <w:t xml:space="preserve">Nájem končí předně podle obecných ustanovení o zániku závazků (např. splynutím, stane-li se nájemce vlastníkem; zničení předmětu </w:t>
      </w:r>
      <w:proofErr w:type="gramStart"/>
      <w:r>
        <w:t>nájmu,</w:t>
      </w:r>
      <w:proofErr w:type="gramEnd"/>
      <w:r>
        <w:t xml:space="preserve"> apod.).</w:t>
      </w:r>
    </w:p>
    <w:p w:rsidR="00855935" w:rsidRDefault="00885EA5">
      <w:pPr>
        <w:numPr>
          <w:ilvl w:val="0"/>
          <w:numId w:val="4"/>
        </w:numPr>
        <w:spacing w:after="257"/>
        <w:ind w:right="14"/>
      </w:pPr>
      <w:r>
        <w:t>Nájem sjednaný touto smlouvou na dobu určitou končí rovněž uplynutím doby, na kterou byl sjednán nebo písemnou dohodou smluvních stran.</w:t>
      </w:r>
    </w:p>
    <w:p w:rsidR="00855935" w:rsidRDefault="00885EA5">
      <w:pPr>
        <w:numPr>
          <w:ilvl w:val="0"/>
          <w:numId w:val="4"/>
        </w:numPr>
        <w:spacing w:after="90"/>
        <w:ind w:right="14"/>
      </w:pPr>
      <w:r>
        <w:t>Nájem sjednaný touto smlouvou lze rovněž skončit před uplynutím sjednané doby nájmu písemnou výpovědí. Výpověď nájmu vyžaduje písemnou formu a musí být doručen druhé straně. Obě smluvní strany jsou oprávněny vypovědět tuto smlouvu písemnou výpovědí ve 2 (dvou) měsíční výpovědní době, jejž běh počíná prvním dnem měsíce následujícího po doručení písemné výpovědi vypovídané smluvní straně, a to i bez uvedení konkrétního výpovědního důvodu.</w:t>
      </w:r>
    </w:p>
    <w:p w:rsidR="00855935" w:rsidRDefault="00885EA5">
      <w:pPr>
        <w:numPr>
          <w:ilvl w:val="0"/>
          <w:numId w:val="4"/>
        </w:numPr>
        <w:spacing w:after="491"/>
        <w:ind w:right="14"/>
      </w:pPr>
      <w:r>
        <w:t>Skončí-li nájem, je nájemce povinen bez zbytečného odkladu, nejpozději do 15 (patnácti) dnů ode dne skončení nájmu, odstranit reklamní zařízení z předmětu nájmu a odevzdat předmět nájmu pronajímateli v takovém stavu, v jakém byla věc v době, kdy ji převzal, s přihlédnutím k obvyklému opotřebení při řádném užívání, ledaže věc zanikla nebo se znehodnotila nebo nebude</w:t>
      </w:r>
      <w:r w:rsidR="00FA4F0D">
        <w:t>-</w:t>
      </w:r>
      <w:r>
        <w:t>li dohodnuto jinak. Povinnosti nájemce vrátit předmět nájmu pronajímateli odpovídá povinnost pronajímatele od nájemce předmět nájmu převzít. Pokud pronajímatel tuto svou povinnost nesplní, není nájemce v prodlení se splněním své povinnosti (S 1968 a S 1975 občanský zákoník). Změny provedené na předmětu nájmu bez souhlasu pronajímatele, nedohodnou-li se smluvní strany jinak, nezakládají nájemci právo k úhradě nákladů s nimi spojenými v případě skončení nájmu.</w:t>
      </w:r>
    </w:p>
    <w:p w:rsidR="00855935" w:rsidRDefault="00885EA5">
      <w:pPr>
        <w:pStyle w:val="Nadpis1"/>
        <w:spacing w:after="104"/>
        <w:ind w:left="46"/>
      </w:pPr>
      <w:r>
        <w:t>Práva a povinnosti</w:t>
      </w:r>
    </w:p>
    <w:p w:rsidR="00855935" w:rsidRDefault="00885EA5">
      <w:pPr>
        <w:numPr>
          <w:ilvl w:val="0"/>
          <w:numId w:val="5"/>
        </w:numPr>
        <w:spacing w:after="0"/>
        <w:ind w:right="14"/>
      </w:pPr>
      <w:r>
        <w:t>Reklamní zařízení je majetkem nájemce. Nájemce se zavazuje zajistit grafické podklady a výrobu reklamního nosiče na vlastní náklady. Nájemce se zavazuje zaslat předem grafický návrh v náhledu k odsouhlasení pronajímateli.</w:t>
      </w:r>
    </w:p>
    <w:p w:rsidR="00855935" w:rsidRDefault="00885EA5">
      <w:pPr>
        <w:numPr>
          <w:ilvl w:val="0"/>
          <w:numId w:val="5"/>
        </w:numPr>
        <w:ind w:right="14"/>
      </w:pPr>
      <w:r>
        <w:lastRenderedPageBreak/>
        <w:t xml:space="preserve">Instalaci reklamního zařízení, údržbu pronajímané plochy a </w:t>
      </w:r>
      <w:proofErr w:type="spellStart"/>
      <w:r>
        <w:t>deinstalaci</w:t>
      </w:r>
      <w:proofErr w:type="spellEnd"/>
      <w:r>
        <w:t xml:space="preserve"> reklamního zařízení po ukončení nájmu zajistí, na náklady nájemce, pronajímatel; pronajímatel je oprávněn vyúčtovat nájemci pouze účelně vynaložené náklady.</w:t>
      </w:r>
    </w:p>
    <w:p w:rsidR="00855935" w:rsidRDefault="00885EA5">
      <w:pPr>
        <w:numPr>
          <w:ilvl w:val="0"/>
          <w:numId w:val="5"/>
        </w:numPr>
        <w:spacing w:after="0"/>
        <w:ind w:right="14"/>
      </w:pPr>
      <w:r>
        <w:t>V případě opotřebení folie vlivem vnějších vlivů je nájemce povinen zajistit výměnu reklamní plachty na svoje náklady, a to nejméně 1 x za 2 roky od začátku trvání smlouvy.</w:t>
      </w:r>
    </w:p>
    <w:p w:rsidR="00855935" w:rsidRDefault="00885EA5">
      <w:pPr>
        <w:numPr>
          <w:ilvl w:val="0"/>
          <w:numId w:val="5"/>
        </w:numPr>
        <w:ind w:right="14"/>
      </w:pPr>
      <w:r>
        <w:t>Nájemce se zavazuje, že obsah reklamního zařízení bude v souladu s obecnými předpisy pro reklamní činnost v ČR.</w:t>
      </w:r>
    </w:p>
    <w:p w:rsidR="00855935" w:rsidRDefault="00885EA5">
      <w:pPr>
        <w:spacing w:after="0" w:line="259" w:lineRule="auto"/>
        <w:ind w:left="32" w:right="14" w:hanging="10"/>
        <w:jc w:val="center"/>
      </w:pPr>
      <w:proofErr w:type="spellStart"/>
      <w:r>
        <w:rPr>
          <w:sz w:val="32"/>
        </w:rPr>
        <w:t>Vl</w:t>
      </w:r>
      <w:proofErr w:type="spellEnd"/>
      <w:r>
        <w:rPr>
          <w:sz w:val="32"/>
        </w:rPr>
        <w:t>.</w:t>
      </w:r>
    </w:p>
    <w:p w:rsidR="00855935" w:rsidRDefault="00885EA5">
      <w:pPr>
        <w:pStyle w:val="Nadpis1"/>
        <w:ind w:left="46" w:right="14"/>
      </w:pPr>
      <w:r>
        <w:t>Závěrečná ustanovení</w:t>
      </w:r>
    </w:p>
    <w:p w:rsidR="00855935" w:rsidRDefault="00885EA5">
      <w:pPr>
        <w:numPr>
          <w:ilvl w:val="0"/>
          <w:numId w:val="6"/>
        </w:numPr>
        <w:spacing w:after="269"/>
        <w:ind w:right="14"/>
      </w:pPr>
      <w:r>
        <w:t>Tato smlouva může být měněna a doplňována pouze písemně, formou písemných dodatků podepsaných oběma smluvními stranami.</w:t>
      </w:r>
    </w:p>
    <w:p w:rsidR="00855935" w:rsidRDefault="00885EA5">
      <w:pPr>
        <w:numPr>
          <w:ilvl w:val="0"/>
          <w:numId w:val="6"/>
        </w:numPr>
        <w:spacing w:after="221"/>
        <w:ind w:right="14"/>
      </w:pPr>
      <w:r>
        <w:t>Smluvní strany prohlašují, že si při jednání o uzavření smlouvy sdělily všechny skutkové a právní okolnosti, o nichž vědí nebo vědět musí tak, aby se každá ze stran mohla přesvědčit o možnosti uzavřít platnou smlouvu a aby byl každé ze stran zřejmý její zájem smlouvu uzavřít.</w:t>
      </w:r>
    </w:p>
    <w:p w:rsidR="00855935" w:rsidRDefault="00885EA5">
      <w:pPr>
        <w:numPr>
          <w:ilvl w:val="0"/>
          <w:numId w:val="6"/>
        </w:numPr>
        <w:spacing w:after="271"/>
        <w:ind w:right="14"/>
      </w:pPr>
      <w:r>
        <w:t>Smluvní strany vylučují možnost postoupení práv a povinností z této smlouvy na třetí osobu bez předchozího písemného souhlasu druhé smluvní strany.</w:t>
      </w:r>
    </w:p>
    <w:p w:rsidR="00855935" w:rsidRDefault="00885EA5">
      <w:pPr>
        <w:numPr>
          <w:ilvl w:val="0"/>
          <w:numId w:val="6"/>
        </w:numPr>
        <w:spacing w:after="210"/>
        <w:ind w:right="14"/>
      </w:pPr>
      <w:r>
        <w:t>Vyskytnou-li se události, které jedné nebo oběma stranám částečně nebo úplně znemožní plnění jejich povinností podle smlouvy, jsou povinni se o tom bez zbytečného prodlení informovat a společně podniknout kroky k jejich překonání.</w:t>
      </w:r>
    </w:p>
    <w:p w:rsidR="00855935" w:rsidRDefault="00885EA5">
      <w:pPr>
        <w:numPr>
          <w:ilvl w:val="0"/>
          <w:numId w:val="6"/>
        </w:numPr>
        <w:spacing w:after="234"/>
        <w:ind w:right="14"/>
      </w:pPr>
      <w:r>
        <w:t>Tato smlouva je uzavřena dnem jejího podpisu a účinná dnem jejího uveřejnění pronajímatelem dle zákona č. 340/2015 Sb., o zvláštních podmínkách účinnosti některých smluv, uveřejňování těchto smluv a o registru smluv (Zákon o registru smluv), v platném znění.</w:t>
      </w:r>
    </w:p>
    <w:p w:rsidR="00855935" w:rsidRDefault="00885EA5">
      <w:pPr>
        <w:numPr>
          <w:ilvl w:val="0"/>
          <w:numId w:val="6"/>
        </w:numPr>
        <w:spacing w:after="526"/>
        <w:ind w:right="14"/>
      </w:pPr>
      <w:r>
        <w:t xml:space="preserve">Podle </w:t>
      </w:r>
      <w:proofErr w:type="spellStart"/>
      <w:r>
        <w:t>ust</w:t>
      </w:r>
      <w:proofErr w:type="spellEnd"/>
      <w:r>
        <w:t xml:space="preserve">. S 41 zákona č.128/2000 Sb., o obcích, pronajímatel uvádí, že záměr města Bruntál pronajmout předmět nájmu dle této smlouvy byl, podle </w:t>
      </w:r>
      <w:proofErr w:type="spellStart"/>
      <w:r>
        <w:t>ust</w:t>
      </w:r>
      <w:proofErr w:type="spellEnd"/>
      <w:r>
        <w:t>. S 39 zákona č. 128/2000 Sb., na základě rozhodnutí Rady města Bruntálu č. 69/2R/2022 ze dne 23.11.2022, zveřejněn na úřední desce dne 28.11.2022 (sňato dne 16.12.2022). Souhlas k uzavření této smlouvy byl dán rozhodnutím rady města 351/9R/2023 ze dne 22.3.2023.</w:t>
      </w:r>
    </w:p>
    <w:p w:rsidR="00855935" w:rsidRDefault="00885EA5">
      <w:pPr>
        <w:numPr>
          <w:ilvl w:val="0"/>
          <w:numId w:val="6"/>
        </w:numPr>
        <w:spacing w:after="125"/>
        <w:ind w:right="14"/>
      </w:pPr>
      <w:r>
        <w:t>Tato smlouva se uzavírá ve třech vyhotoveních rovné právní síly, z nichž pronajímatel obdrží dvě vyhotovení a nájemce jedno.</w:t>
      </w:r>
    </w:p>
    <w:p w:rsidR="00855935" w:rsidRDefault="00885EA5">
      <w:pPr>
        <w:tabs>
          <w:tab w:val="center" w:pos="2053"/>
          <w:tab w:val="center" w:pos="7905"/>
        </w:tabs>
        <w:ind w:left="0" w:right="0" w:firstLine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224103</wp:posOffset>
            </wp:positionH>
            <wp:positionV relativeFrom="paragraph">
              <wp:posOffset>22869</wp:posOffset>
            </wp:positionV>
            <wp:extent cx="2254753" cy="1152582"/>
            <wp:effectExtent l="0" t="0" r="0" b="0"/>
            <wp:wrapSquare wrapText="bothSides"/>
            <wp:docPr id="15631" name="Picture 156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1" name="Picture 1563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54753" cy="1152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>
        <w:rPr>
          <w:noProof/>
        </w:rPr>
        <w:drawing>
          <wp:inline distT="0" distB="0" distL="0" distR="0">
            <wp:extent cx="3270077" cy="1641972"/>
            <wp:effectExtent l="0" t="0" r="0" b="0"/>
            <wp:docPr id="15629" name="Picture 156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9" name="Picture 1562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70077" cy="1641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5935">
      <w:pgSz w:w="11920" w:h="16840"/>
      <w:pgMar w:top="876" w:right="1462" w:bottom="1723" w:left="134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C02F3"/>
    <w:multiLevelType w:val="hybridMultilevel"/>
    <w:tmpl w:val="C6A429D8"/>
    <w:lvl w:ilvl="0" w:tplc="CDDC0D98">
      <w:start w:val="1"/>
      <w:numFmt w:val="decimal"/>
      <w:lvlText w:val="%1."/>
      <w:lvlJc w:val="left"/>
      <w:pPr>
        <w:ind w:left="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B82954">
      <w:start w:val="1"/>
      <w:numFmt w:val="lowerLetter"/>
      <w:lvlText w:val="%2"/>
      <w:lvlJc w:val="left"/>
      <w:pPr>
        <w:ind w:left="1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88E5F4">
      <w:start w:val="1"/>
      <w:numFmt w:val="lowerRoman"/>
      <w:lvlText w:val="%3"/>
      <w:lvlJc w:val="left"/>
      <w:pPr>
        <w:ind w:left="1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6052F8">
      <w:start w:val="1"/>
      <w:numFmt w:val="decimal"/>
      <w:lvlText w:val="%4"/>
      <w:lvlJc w:val="left"/>
      <w:pPr>
        <w:ind w:left="2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8E21BE">
      <w:start w:val="1"/>
      <w:numFmt w:val="lowerLetter"/>
      <w:lvlText w:val="%5"/>
      <w:lvlJc w:val="left"/>
      <w:pPr>
        <w:ind w:left="3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CEA8FE">
      <w:start w:val="1"/>
      <w:numFmt w:val="lowerRoman"/>
      <w:lvlText w:val="%6"/>
      <w:lvlJc w:val="left"/>
      <w:pPr>
        <w:ind w:left="3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3206E4">
      <w:start w:val="1"/>
      <w:numFmt w:val="decimal"/>
      <w:lvlText w:val="%7"/>
      <w:lvlJc w:val="left"/>
      <w:pPr>
        <w:ind w:left="4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764174">
      <w:start w:val="1"/>
      <w:numFmt w:val="lowerLetter"/>
      <w:lvlText w:val="%8"/>
      <w:lvlJc w:val="left"/>
      <w:pPr>
        <w:ind w:left="5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2067E4">
      <w:start w:val="1"/>
      <w:numFmt w:val="lowerRoman"/>
      <w:lvlText w:val="%9"/>
      <w:lvlJc w:val="left"/>
      <w:pPr>
        <w:ind w:left="6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2B60F0"/>
    <w:multiLevelType w:val="hybridMultilevel"/>
    <w:tmpl w:val="3F8C44D4"/>
    <w:lvl w:ilvl="0" w:tplc="0270F34C">
      <w:start w:val="1"/>
      <w:numFmt w:val="decimal"/>
      <w:lvlText w:val="%1."/>
      <w:lvlJc w:val="left"/>
      <w:pPr>
        <w:ind w:left="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4CE370">
      <w:start w:val="1"/>
      <w:numFmt w:val="lowerLetter"/>
      <w:lvlText w:val="%2"/>
      <w:lvlJc w:val="left"/>
      <w:pPr>
        <w:ind w:left="1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E64EDA">
      <w:start w:val="1"/>
      <w:numFmt w:val="lowerRoman"/>
      <w:lvlText w:val="%3"/>
      <w:lvlJc w:val="left"/>
      <w:pPr>
        <w:ind w:left="18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769ECC">
      <w:start w:val="1"/>
      <w:numFmt w:val="decimal"/>
      <w:lvlText w:val="%4"/>
      <w:lvlJc w:val="left"/>
      <w:pPr>
        <w:ind w:left="25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AA6B00">
      <w:start w:val="1"/>
      <w:numFmt w:val="lowerLetter"/>
      <w:lvlText w:val="%5"/>
      <w:lvlJc w:val="left"/>
      <w:pPr>
        <w:ind w:left="32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58A89A">
      <w:start w:val="1"/>
      <w:numFmt w:val="lowerRoman"/>
      <w:lvlText w:val="%6"/>
      <w:lvlJc w:val="left"/>
      <w:pPr>
        <w:ind w:left="40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14A18E">
      <w:start w:val="1"/>
      <w:numFmt w:val="decimal"/>
      <w:lvlText w:val="%7"/>
      <w:lvlJc w:val="left"/>
      <w:pPr>
        <w:ind w:left="4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D6D574">
      <w:start w:val="1"/>
      <w:numFmt w:val="lowerLetter"/>
      <w:lvlText w:val="%8"/>
      <w:lvlJc w:val="left"/>
      <w:pPr>
        <w:ind w:left="5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7AC8AC">
      <w:start w:val="1"/>
      <w:numFmt w:val="lowerRoman"/>
      <w:lvlText w:val="%9"/>
      <w:lvlJc w:val="left"/>
      <w:pPr>
        <w:ind w:left="6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8476E4"/>
    <w:multiLevelType w:val="hybridMultilevel"/>
    <w:tmpl w:val="C6DECCD4"/>
    <w:lvl w:ilvl="0" w:tplc="97123584">
      <w:start w:val="1"/>
      <w:numFmt w:val="decimal"/>
      <w:lvlText w:val="%1."/>
      <w:lvlJc w:val="left"/>
      <w:pPr>
        <w:ind w:left="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182B690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30896BC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AB870EE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47EC2FA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CBEB592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264A6E0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4C0B64A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B90D17E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47309F"/>
    <w:multiLevelType w:val="hybridMultilevel"/>
    <w:tmpl w:val="1EC82D3A"/>
    <w:lvl w:ilvl="0" w:tplc="636EF5F4">
      <w:start w:val="1"/>
      <w:numFmt w:val="decimal"/>
      <w:lvlText w:val="%1."/>
      <w:lvlJc w:val="left"/>
      <w:pPr>
        <w:ind w:left="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76C5E4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C0804A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262622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78F4DC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622488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0611D6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1E2438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420F6C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7D02AAC"/>
    <w:multiLevelType w:val="hybridMultilevel"/>
    <w:tmpl w:val="996C4324"/>
    <w:lvl w:ilvl="0" w:tplc="52B8BA82">
      <w:start w:val="1"/>
      <w:numFmt w:val="decimal"/>
      <w:lvlText w:val="%1."/>
      <w:lvlJc w:val="left"/>
      <w:pPr>
        <w:ind w:left="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CA9B16">
      <w:start w:val="1"/>
      <w:numFmt w:val="lowerLetter"/>
      <w:lvlText w:val="%2"/>
      <w:lvlJc w:val="left"/>
      <w:pPr>
        <w:ind w:left="1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0E89C8">
      <w:start w:val="1"/>
      <w:numFmt w:val="lowerRoman"/>
      <w:lvlText w:val="%3"/>
      <w:lvlJc w:val="left"/>
      <w:pPr>
        <w:ind w:left="1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2E9BAA">
      <w:start w:val="1"/>
      <w:numFmt w:val="decimal"/>
      <w:lvlText w:val="%4"/>
      <w:lvlJc w:val="left"/>
      <w:pPr>
        <w:ind w:left="2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3AEA72">
      <w:start w:val="1"/>
      <w:numFmt w:val="lowerLetter"/>
      <w:lvlText w:val="%5"/>
      <w:lvlJc w:val="left"/>
      <w:pPr>
        <w:ind w:left="3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B017AA">
      <w:start w:val="1"/>
      <w:numFmt w:val="lowerRoman"/>
      <w:lvlText w:val="%6"/>
      <w:lvlJc w:val="left"/>
      <w:pPr>
        <w:ind w:left="3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345712">
      <w:start w:val="1"/>
      <w:numFmt w:val="decimal"/>
      <w:lvlText w:val="%7"/>
      <w:lvlJc w:val="left"/>
      <w:pPr>
        <w:ind w:left="4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AC8346">
      <w:start w:val="1"/>
      <w:numFmt w:val="lowerLetter"/>
      <w:lvlText w:val="%8"/>
      <w:lvlJc w:val="left"/>
      <w:pPr>
        <w:ind w:left="5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78B0CC">
      <w:start w:val="1"/>
      <w:numFmt w:val="lowerRoman"/>
      <w:lvlText w:val="%9"/>
      <w:lvlJc w:val="left"/>
      <w:pPr>
        <w:ind w:left="6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8B16CBB"/>
    <w:multiLevelType w:val="hybridMultilevel"/>
    <w:tmpl w:val="24C63E74"/>
    <w:lvl w:ilvl="0" w:tplc="769CE00A">
      <w:start w:val="1"/>
      <w:numFmt w:val="decimal"/>
      <w:lvlText w:val="%1."/>
      <w:lvlJc w:val="left"/>
      <w:pPr>
        <w:ind w:left="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06A16E">
      <w:start w:val="1"/>
      <w:numFmt w:val="lowerLetter"/>
      <w:lvlText w:val="%2"/>
      <w:lvlJc w:val="left"/>
      <w:pPr>
        <w:ind w:left="1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040242">
      <w:start w:val="1"/>
      <w:numFmt w:val="lowerRoman"/>
      <w:lvlText w:val="%3"/>
      <w:lvlJc w:val="left"/>
      <w:pPr>
        <w:ind w:left="1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365ACE">
      <w:start w:val="1"/>
      <w:numFmt w:val="decimal"/>
      <w:lvlText w:val="%4"/>
      <w:lvlJc w:val="left"/>
      <w:pPr>
        <w:ind w:left="2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66C5BA">
      <w:start w:val="1"/>
      <w:numFmt w:val="lowerLetter"/>
      <w:lvlText w:val="%5"/>
      <w:lvlJc w:val="left"/>
      <w:pPr>
        <w:ind w:left="3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30E4F2">
      <w:start w:val="1"/>
      <w:numFmt w:val="lowerRoman"/>
      <w:lvlText w:val="%6"/>
      <w:lvlJc w:val="left"/>
      <w:pPr>
        <w:ind w:left="40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0C84EE">
      <w:start w:val="1"/>
      <w:numFmt w:val="decimal"/>
      <w:lvlText w:val="%7"/>
      <w:lvlJc w:val="left"/>
      <w:pPr>
        <w:ind w:left="4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0CDB48">
      <w:start w:val="1"/>
      <w:numFmt w:val="lowerLetter"/>
      <w:lvlText w:val="%8"/>
      <w:lvlJc w:val="left"/>
      <w:pPr>
        <w:ind w:left="5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4A967A">
      <w:start w:val="1"/>
      <w:numFmt w:val="lowerRoman"/>
      <w:lvlText w:val="%9"/>
      <w:lvlJc w:val="left"/>
      <w:pPr>
        <w:ind w:left="6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935"/>
    <w:rsid w:val="00855935"/>
    <w:rsid w:val="00885EA5"/>
    <w:rsid w:val="00FA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35623"/>
  <w15:docId w15:val="{F728A186-51BB-4EF6-B630-6B2C61A8E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7" w:line="221" w:lineRule="auto"/>
      <w:ind w:left="428" w:right="36" w:hanging="428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76"/>
      <w:ind w:left="32" w:hanging="10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1090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Urbanková Zuzana</dc:creator>
  <cp:keywords/>
  <cp:lastModifiedBy>Urbanková Zuzana</cp:lastModifiedBy>
  <cp:revision>4</cp:revision>
  <dcterms:created xsi:type="dcterms:W3CDTF">2023-04-12T06:29:00Z</dcterms:created>
  <dcterms:modified xsi:type="dcterms:W3CDTF">2023-04-12T06:32:00Z</dcterms:modified>
</cp:coreProperties>
</file>