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3ED0" w14:textId="77777777" w:rsidR="004E0100" w:rsidRDefault="00E929FE">
      <w:pPr>
        <w:pStyle w:val="Standard"/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SMLOUVA O DÍLO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</w:p>
    <w:p w14:paraId="55CB6DE1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bookmarkStart w:id="0" w:name="_Hlk105079311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jméno / název: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JEHA SERVIS s.r.o.</w:t>
      </w:r>
    </w:p>
    <w:p w14:paraId="7843330B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28359585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sídlo: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Šošůvka 138, 679 13 Sloup v Moravském krasu</w:t>
      </w:r>
    </w:p>
    <w:p w14:paraId="450A12D3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zastoupená: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Jan Hasoň, jednatel firmy</w:t>
      </w:r>
    </w:p>
    <w:p w14:paraId="2E80FCCC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tel.: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775 122 235</w:t>
      </w:r>
    </w:p>
    <w:bookmarkEnd w:id="0"/>
    <w:p w14:paraId="256EF747" w14:textId="77777777" w:rsidR="004E0100" w:rsidRDefault="00E929FE">
      <w:pPr>
        <w:pStyle w:val="Standard"/>
        <w:spacing w:before="100" w:after="100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(dále jen jako „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Zhotovitel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“ na straně jedné)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</w:p>
    <w:p w14:paraId="2D11181D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a </w:t>
      </w:r>
    </w:p>
    <w:p w14:paraId="03D6E8A8" w14:textId="77777777" w:rsidR="004E0100" w:rsidRDefault="004E0100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6A81985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jméno / název: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Služby Boskovice, s.r.o.</w:t>
      </w:r>
    </w:p>
    <w:p w14:paraId="59E7EEC3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IČ: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26944855</w:t>
      </w:r>
    </w:p>
    <w:p w14:paraId="31BF9AD0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sídlo: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U Lázní 2063/3, 680 01, Boskovice</w:t>
      </w:r>
    </w:p>
    <w:p w14:paraId="1EA2ED97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zastoupená: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Mgr. Milan Strya, jednatel firmy</w:t>
      </w:r>
    </w:p>
    <w:p w14:paraId="6B816D07" w14:textId="77777777" w:rsidR="004E0100" w:rsidRDefault="00E929FE">
      <w:pPr>
        <w:pStyle w:val="Standard"/>
        <w:spacing w:before="100" w:after="100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tel.: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606 902 523</w:t>
      </w:r>
    </w:p>
    <w:p w14:paraId="5F40A811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(dále jen jako „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Objednatel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“ na straně druhé)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uzavírají níže uvedeného dne, měsíce a roku podle § 536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obchodního zákoníku, ve znění pozdějších předpisů, tuto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smlouvu o dílo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(dále jen „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Smlouva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“)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4E7C7E33" w14:textId="77777777" w:rsidR="004E0100" w:rsidRDefault="00E929F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I.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Předmět Smlouvy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19024531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Zhotovitel se touto smlouvou zavazuje provést na svůj náklad a nebezpečí pro objednatele za podmínek níže uvedených dílo:</w:t>
      </w:r>
    </w:p>
    <w:p w14:paraId="07253A67" w14:textId="77777777" w:rsidR="004E0100" w:rsidRDefault="004E0100">
      <w:pPr>
        <w:pStyle w:val="Standard"/>
      </w:pPr>
    </w:p>
    <w:p w14:paraId="3A3E2D7A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Oprava teplovod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ního kotle WP800 a nefunkčního průmyslového plynového hořáku APH o jmenovitém tepelném výkonu 1600 kW, palivo zemní plyn, včetně příslušenství a oprav netěsností na rozvodu ÚT, dále jen Dílo v objektu 404 – K404 – Na Vyhlídce 1990/97 – Boskovice.</w:t>
      </w:r>
    </w:p>
    <w:p w14:paraId="7E6373AA" w14:textId="77777777" w:rsidR="004E0100" w:rsidRDefault="004E0100">
      <w:pPr>
        <w:pStyle w:val="Standard"/>
      </w:pPr>
    </w:p>
    <w:p w14:paraId="48593280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Objednat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el se zavazuje Dílo převzít a zaplatit za něj Zhotoviteli cenu, která je sjednána v čl. II této Smlouvy, dle skutečného provedení, instalovaného materiálu a rozsahu prací.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20F32827" w14:textId="77777777" w:rsidR="004E0100" w:rsidRDefault="00E929F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II.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Cena Díla a způsob úhrady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2B5816DE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Smluvní strany se dohodly, že předpokládaná celkov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á cena díla bude činit částku, dle cenové nabídky č. 23NA00005 ze dne 6.03.2023 a rozsahu prací ve výši 75.000 Kč (sedmdesát pět tisíc korun českých), bez DPH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21%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14:paraId="6D720D0D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Zhotoviteli nebyla poskytnuta finanční záloha. Platba za dílo bude po odsouhlasení objednate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le kontrolou a rozsahem provedených prací zhotoviteli uhrazena na jeho účet č. 43-5367860237 / 0100 vedený u KB Blansko po předání a převzetí Díla.</w:t>
      </w:r>
    </w:p>
    <w:p w14:paraId="4B6B93B9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V případě vzniklých víceprací bude po dohodě s objednatelem vše odsouhlaseno ústně a zaznamenáno písemně v d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odatku Smlouvě o dílo.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790EFE8A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F47E845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14A68DE3" w14:textId="77777777" w:rsidR="004E0100" w:rsidRDefault="00E929F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lastRenderedPageBreak/>
        <w:t>III.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Termín zhotovení díla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549E09BE" w14:textId="569816EF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Smluvní strany se dohodly, že Dílo bude Zhotovitelem provedeno v termínu nejpozději do </w:t>
      </w:r>
      <w:r w:rsidRPr="00E929FE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10</w:t>
      </w:r>
      <w:r w:rsidRPr="00E929FE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.04</w:t>
      </w:r>
      <w:r w:rsidRPr="00E929FE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.2023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</w:p>
    <w:p w14:paraId="4DE8946A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Objednatel předal při podpisu smlouvy následující věci určené k provedení díla:</w:t>
      </w:r>
    </w:p>
    <w:p w14:paraId="6E9290E7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</w:p>
    <w:p w14:paraId="07CDEB6D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Objednatel předal zhotoviteli následující podklady (specifikace/technickou dokumentaci, popřípadě určité věci)</w:t>
      </w:r>
    </w:p>
    <w:p w14:paraId="01CD71AB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- informaci o umístění hlavních uzávěrů pro odstavení energií při výměně zásobníků vody a tlakové nádoby</w:t>
      </w:r>
    </w:p>
    <w:p w14:paraId="418E6205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- vstup k místě instalace</w:t>
      </w:r>
    </w:p>
    <w:p w14:paraId="0E533CCD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A504CEE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Objednatel je povinen připravit podmínky pro zhotovitelovo plnění (přístup k vodě, elektrice, popř. umožnit skladovací prostor – vše, dle ústní dohody přímo na místě). Objednatel je povinen zhotovitele seznámit s projektovou dokumentací a jinými plány (pok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ud jsou dostupné), na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základě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nichž realizuje dílo, k níž objednává plnění zhotovitele.</w:t>
      </w:r>
    </w:p>
    <w:p w14:paraId="65A412BC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26FB30D" w14:textId="77777777" w:rsidR="004E0100" w:rsidRDefault="00E929F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IV.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Předání a převzetí Díla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7234E41E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K předání a převzetí Díla dojde do dvou dnů od jeho zhotovení, nejpozději však bude dílo zhotoveno i předáno v termínu uvedeným v čl. III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této smlouvy.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O předání a převzetí Díla bude Smluvními stranami vyhotoven předávací protokol.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Smluvní strany se pro případ prodlení objednatele se zaplacením ceny Díla dohodly na smluvní pokutě ve výši 0,5 % za každý den prodlení.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Pro případ prodlení s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e zhotovením Díla na straně zhotovitele má objednatel právo namísto smluvní pokuty na slevu z ceny Díla ve výši 0,5 % za každých započatých 7 dní prodlení.</w:t>
      </w:r>
    </w:p>
    <w:p w14:paraId="72205067" w14:textId="77777777" w:rsidR="004E0100" w:rsidRDefault="00E929FE">
      <w:pPr>
        <w:pStyle w:val="Standard"/>
        <w:jc w:val="center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V.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Odpovědnost za vady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5CB962D9" w14:textId="77777777" w:rsidR="004E0100" w:rsidRDefault="00E929FE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Zhotovitel poskytne na Dílo záruku po dobu 24 měsíců od předání Díla objed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nateli. Záruka se nevztahuje na vady díla, které budou způsobeny vadami materiálu, který předal zhotoviteli podle čl. III této Smlouvy objednatel.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Zhotovitel se zavazuje předat Dílo bez vad a nedodělků.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Smluvní strany se dále dohodly, že budou-li v době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předání na Díle viditelné vady či nedodělky, k předání a převzetí Díla dojde až po jejich odstranění. O této skutečnosti bude Smluvními stranami sepsán záznam. Náklady na odstranění vad nese Zhotovitel.</w:t>
      </w:r>
    </w:p>
    <w:p w14:paraId="4F11FA2B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FB72D91" w14:textId="77777777" w:rsidR="004E0100" w:rsidRDefault="00E929F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VI.</w:t>
      </w:r>
    </w:p>
    <w:p w14:paraId="315C0DBC" w14:textId="77777777" w:rsidR="004E0100" w:rsidRDefault="00E929FE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Důvěrnost</w:t>
      </w:r>
    </w:p>
    <w:p w14:paraId="3387BB17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9213A5E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Zhotovitel se zavazuje, že nezpřístup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ní ani nepoužije žádnou informaci obchodní nebo výrobní povahy, se kterou se seznámí v souvislosti s plněním této Smlouvy, zejména nezpřístupní ani nepoužije žádnou takovou informaci obsaženou v této Smlouvě, databázi zákazníků Objednatele ani kontakty na 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ně, cenovou politiku objednatele, marketingovou strategii Objednatele, informace o uzavřených smlouvách a dodavatelích objednatele, způsob fungování podniku Objednatele, strategická rozhodnutí a podnikatelské záměry objednatele nebo jakoukoli jinou informa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ci, kterou je možné považovat za obchodní tajemství objednatele.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0AC92043" w14:textId="77777777" w:rsidR="004E0100" w:rsidRDefault="00E929FE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lastRenderedPageBreak/>
        <w:t>VII.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Závěrečná ustanovení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60E76468" w14:textId="77777777" w:rsidR="004E0100" w:rsidRDefault="00E929FE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Tato Smlouva nabývá platnosti a účinnosti dnem jejího podpisu oběma Smluvními stranami.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Tato Smlouva a vztahy z ní vyplývající se řídí právním řádem České repub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liky, zejména příslušnými ustanoveními §536 obchodního zákoníku, ve znění pozdějších předpisů.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Smlouva byla vyhotovena ve dvou stejnopisech, z nichž každá Smluvní strana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obdrží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po jednom vyhotovení.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Smluvní strany níže svým podpisem stvrzují, že si Smlouv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u před jejím podpisem přečetly, s jejím obsahem </w:t>
      </w:r>
    </w:p>
    <w:p w14:paraId="2803E138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souhlasí, a tato je sepsána podle jejich pravé a skutečné vůle, srozumitelně a určitě, nikoli v tísni za nápadně nevýhodných podmínek.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 </w:t>
      </w:r>
    </w:p>
    <w:p w14:paraId="37E3E95A" w14:textId="77777777" w:rsidR="004E0100" w:rsidRDefault="00E929FE">
      <w:pPr>
        <w:pStyle w:val="Standard"/>
      </w:pPr>
      <w:r>
        <w:rPr>
          <w:rFonts w:ascii="Times New Roman" w:hAnsi="Times New Roman"/>
          <w:sz w:val="22"/>
          <w:szCs w:val="22"/>
        </w:rPr>
        <w:t>Případné změny této smlouvy budou provedeny písemně formou dodatků.</w:t>
      </w:r>
    </w:p>
    <w:p w14:paraId="3D7BEA87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55E105CC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P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řílohy: 1x cenová nabídka č. 23NA00005</w:t>
      </w:r>
    </w:p>
    <w:p w14:paraId="34A84B43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375C0F40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1C1CFC8" w14:textId="642A79C4" w:rsidR="004E0100" w:rsidRDefault="00E929FE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Boskovice dne: 14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.03.2023</w:t>
      </w:r>
    </w:p>
    <w:p w14:paraId="634D1B13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20148591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E54C119" w14:textId="77777777" w:rsidR="004E0100" w:rsidRDefault="00E929FE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 xml:space="preserve">Zhotovitel: </w:t>
      </w:r>
    </w:p>
    <w:p w14:paraId="2480C97B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BBE2EA6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A1094A2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7922EE47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4C1C1B6B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D54BB00" w14:textId="77777777" w:rsidR="004E0100" w:rsidRDefault="004E0100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14:paraId="6696D4C0" w14:textId="77777777" w:rsidR="004E0100" w:rsidRDefault="00E929FE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...........................................................</w:t>
      </w:r>
    </w:p>
    <w:p w14:paraId="436CBD5D" w14:textId="77777777" w:rsidR="004E0100" w:rsidRDefault="00E929FE">
      <w:pPr>
        <w:pStyle w:val="Standard"/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Mgr. Milan Strya, jednatel Služby Boskovice, s.r.o.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Jan Hasoň, jednatel JEHA SERVIS s.r.o.</w:t>
      </w:r>
    </w:p>
    <w:sectPr w:rsidR="004E0100">
      <w:pgSz w:w="11906" w:h="16838"/>
      <w:pgMar w:top="709" w:right="991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FFBA" w14:textId="77777777" w:rsidR="00745C6A" w:rsidRDefault="00745C6A">
      <w:r>
        <w:separator/>
      </w:r>
    </w:p>
  </w:endnote>
  <w:endnote w:type="continuationSeparator" w:id="0">
    <w:p w14:paraId="72DFE532" w14:textId="77777777" w:rsidR="00745C6A" w:rsidRDefault="0074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44C6" w14:textId="77777777" w:rsidR="00745C6A" w:rsidRDefault="00745C6A">
      <w:r>
        <w:rPr>
          <w:color w:val="000000"/>
        </w:rPr>
        <w:separator/>
      </w:r>
    </w:p>
  </w:footnote>
  <w:footnote w:type="continuationSeparator" w:id="0">
    <w:p w14:paraId="247A369A" w14:textId="77777777" w:rsidR="00745C6A" w:rsidRDefault="0074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70576"/>
    <w:multiLevelType w:val="multilevel"/>
    <w:tmpl w:val="825C92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81806E5"/>
    <w:multiLevelType w:val="multilevel"/>
    <w:tmpl w:val="42EA7A8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01687370">
    <w:abstractNumId w:val="0"/>
  </w:num>
  <w:num w:numId="2" w16cid:durableId="136073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00"/>
    <w:rsid w:val="004E0100"/>
    <w:rsid w:val="00745C6A"/>
    <w:rsid w:val="00795031"/>
    <w:rsid w:val="00E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8251"/>
  <w15:docId w15:val="{EA952DC7-439D-46C7-924A-811A8DEC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1"/>
        <w:szCs w:val="21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keepLines/>
      <w:pBdr>
        <w:bottom w:val="single" w:sz="4" w:space="1" w:color="4F81BD"/>
      </w:pBdr>
      <w:spacing w:before="400" w:after="40"/>
      <w:outlineLvl w:val="0"/>
    </w:pPr>
    <w:rPr>
      <w:rFonts w:ascii="Cambria" w:hAnsi="Cambria"/>
      <w:color w:val="365F91"/>
      <w:sz w:val="36"/>
      <w:szCs w:val="36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160"/>
      <w:outlineLvl w:val="1"/>
    </w:pPr>
    <w:rPr>
      <w:rFonts w:ascii="Cambria" w:hAnsi="Cambria"/>
      <w:color w:val="365F91"/>
      <w:sz w:val="28"/>
      <w:szCs w:val="28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keepLines/>
      <w:spacing w:before="80"/>
      <w:outlineLvl w:val="2"/>
    </w:pPr>
    <w:rPr>
      <w:rFonts w:ascii="Cambria" w:hAnsi="Cambria"/>
      <w:color w:val="404040"/>
      <w:sz w:val="26"/>
      <w:szCs w:val="26"/>
    </w:rPr>
  </w:style>
  <w:style w:type="paragraph" w:styleId="Nadpis4">
    <w:name w:val="heading 4"/>
    <w:basedOn w:val="Standard"/>
    <w:next w:val="Textbody"/>
    <w:uiPriority w:val="9"/>
    <w:semiHidden/>
    <w:unhideWhenUsed/>
    <w:qFormat/>
    <w:pPr>
      <w:keepNext/>
      <w:keepLines/>
      <w:spacing w:before="80"/>
      <w:outlineLvl w:val="3"/>
    </w:pPr>
    <w:rPr>
      <w:rFonts w:ascii="Cambria" w:hAnsi="Cambria"/>
      <w:sz w:val="24"/>
      <w:szCs w:val="24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keepLines/>
      <w:spacing w:before="80"/>
      <w:outlineLvl w:val="4"/>
    </w:pPr>
    <w:rPr>
      <w:rFonts w:ascii="Cambria" w:hAnsi="Cambria"/>
      <w:i/>
      <w:iCs/>
      <w:sz w:val="22"/>
      <w:szCs w:val="22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keepLines/>
      <w:spacing w:before="80"/>
      <w:outlineLvl w:val="5"/>
    </w:pPr>
    <w:rPr>
      <w:rFonts w:ascii="Cambria" w:hAnsi="Cambria"/>
      <w:color w:val="595959"/>
    </w:rPr>
  </w:style>
  <w:style w:type="paragraph" w:styleId="Nadpis7">
    <w:name w:val="heading 7"/>
    <w:basedOn w:val="Standard"/>
    <w:next w:val="Textbody"/>
    <w:pPr>
      <w:keepNext/>
      <w:keepLines/>
      <w:spacing w:before="80"/>
      <w:outlineLvl w:val="6"/>
    </w:pPr>
    <w:rPr>
      <w:rFonts w:ascii="Cambria" w:hAnsi="Cambria"/>
      <w:i/>
      <w:iCs/>
      <w:color w:val="595959"/>
    </w:rPr>
  </w:style>
  <w:style w:type="paragraph" w:styleId="Nadpis8">
    <w:name w:val="heading 8"/>
    <w:basedOn w:val="Standard"/>
    <w:next w:val="Textbody"/>
    <w:pPr>
      <w:keepNext/>
      <w:keepLines/>
      <w:spacing w:before="80"/>
      <w:outlineLvl w:val="7"/>
    </w:pPr>
    <w:rPr>
      <w:rFonts w:ascii="Cambria" w:hAnsi="Cambria"/>
      <w:smallCaps/>
      <w:color w:val="595959"/>
    </w:rPr>
  </w:style>
  <w:style w:type="paragraph" w:styleId="Nadpis9">
    <w:name w:val="heading 9"/>
    <w:basedOn w:val="Standard"/>
    <w:next w:val="Textbody"/>
    <w:pPr>
      <w:keepNext/>
      <w:keepLines/>
      <w:spacing w:before="80"/>
      <w:outlineLvl w:val="8"/>
    </w:pPr>
    <w:rPr>
      <w:rFonts w:ascii="Cambria" w:hAnsi="Cambria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rPr>
      <w:b/>
      <w:bCs/>
      <w:color w:val="404040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next w:val="Podnadpis"/>
    <w:uiPriority w:val="10"/>
    <w:qFormat/>
    <w:rPr>
      <w:rFonts w:ascii="Cambria" w:hAnsi="Cambria"/>
      <w:b/>
      <w:bCs/>
      <w:color w:val="365F91"/>
      <w:spacing w:val="-7"/>
      <w:sz w:val="80"/>
      <w:szCs w:val="80"/>
    </w:rPr>
  </w:style>
  <w:style w:type="paragraph" w:styleId="Podnadpis">
    <w:name w:val="Subtitle"/>
    <w:basedOn w:val="Standard"/>
    <w:next w:val="Textbody"/>
    <w:uiPriority w:val="11"/>
    <w:qFormat/>
    <w:pPr>
      <w:spacing w:after="240"/>
    </w:pPr>
    <w:rPr>
      <w:rFonts w:ascii="Cambria" w:hAnsi="Cambria"/>
      <w:i/>
      <w:iCs/>
      <w:color w:val="404040"/>
      <w:sz w:val="30"/>
      <w:szCs w:val="30"/>
    </w:rPr>
  </w:style>
  <w:style w:type="paragraph" w:styleId="Bezmezer">
    <w:name w:val="No Spacing"/>
    <w:pPr>
      <w:widowControl/>
      <w:suppressAutoHyphens/>
    </w:pPr>
  </w:style>
  <w:style w:type="paragraph" w:styleId="Citt">
    <w:name w:val="Quote"/>
    <w:basedOn w:val="Standard"/>
    <w:pPr>
      <w:spacing w:before="240" w:after="240"/>
      <w:ind w:left="864" w:right="864"/>
      <w:jc w:val="center"/>
    </w:pPr>
    <w:rPr>
      <w:i/>
      <w:iCs/>
    </w:rPr>
  </w:style>
  <w:style w:type="paragraph" w:styleId="Vrazncitt">
    <w:name w:val="Intense Quote"/>
    <w:basedOn w:val="Standard"/>
    <w:pPr>
      <w:spacing w:before="100" w:after="240"/>
      <w:ind w:left="864" w:right="864"/>
      <w:jc w:val="center"/>
    </w:pPr>
    <w:rPr>
      <w:rFonts w:ascii="Cambria" w:hAnsi="Cambria"/>
      <w:color w:val="4F81BD"/>
      <w:sz w:val="28"/>
      <w:szCs w:val="28"/>
    </w:rPr>
  </w:style>
  <w:style w:type="paragraph" w:customStyle="1" w:styleId="ContentsHeading">
    <w:name w:val="Contents Heading"/>
    <w:basedOn w:val="Nadpis1"/>
    <w:pPr>
      <w:suppressLineNumbers/>
    </w:pPr>
    <w:rPr>
      <w:b/>
      <w:bCs/>
      <w:sz w:val="32"/>
      <w:szCs w:val="32"/>
    </w:rPr>
  </w:style>
  <w:style w:type="paragraph" w:customStyle="1" w:styleId="highlighted">
    <w:name w:val="highlighted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adpis1Char">
    <w:name w:val="Nadpis 1 Char"/>
    <w:basedOn w:val="Standardnpsmoodstavce"/>
    <w:rPr>
      <w:rFonts w:ascii="Cambria" w:hAnsi="Cambria" w:cs="F"/>
      <w:color w:val="365F91"/>
      <w:sz w:val="36"/>
      <w:szCs w:val="36"/>
    </w:rPr>
  </w:style>
  <w:style w:type="character" w:customStyle="1" w:styleId="Nadpis2Char">
    <w:name w:val="Nadpis 2 Char"/>
    <w:basedOn w:val="Standardnpsmoodstavce"/>
    <w:rPr>
      <w:rFonts w:ascii="Cambria" w:hAnsi="Cambria" w:cs="F"/>
      <w:color w:val="365F91"/>
      <w:sz w:val="28"/>
      <w:szCs w:val="28"/>
    </w:rPr>
  </w:style>
  <w:style w:type="character" w:customStyle="1" w:styleId="Nadpis3Char">
    <w:name w:val="Nadpis 3 Char"/>
    <w:basedOn w:val="Standardnpsmoodstavce"/>
    <w:rPr>
      <w:rFonts w:ascii="Cambria" w:hAnsi="Cambria" w:cs="F"/>
      <w:color w:val="404040"/>
      <w:sz w:val="26"/>
      <w:szCs w:val="26"/>
    </w:rPr>
  </w:style>
  <w:style w:type="character" w:customStyle="1" w:styleId="Nadpis4Char">
    <w:name w:val="Nadpis 4 Char"/>
    <w:basedOn w:val="Standardnpsmoodstavce"/>
    <w:rPr>
      <w:rFonts w:ascii="Cambria" w:hAnsi="Cambria" w:cs="F"/>
      <w:sz w:val="24"/>
      <w:szCs w:val="24"/>
    </w:rPr>
  </w:style>
  <w:style w:type="character" w:customStyle="1" w:styleId="Nadpis5Char">
    <w:name w:val="Nadpis 5 Char"/>
    <w:basedOn w:val="Standardnpsmoodstavce"/>
    <w:rPr>
      <w:rFonts w:ascii="Cambria" w:hAnsi="Cambria" w:cs="F"/>
      <w:i/>
      <w:iCs/>
      <w:sz w:val="22"/>
      <w:szCs w:val="22"/>
    </w:rPr>
  </w:style>
  <w:style w:type="character" w:customStyle="1" w:styleId="Nadpis6Char">
    <w:name w:val="Nadpis 6 Char"/>
    <w:basedOn w:val="Standardnpsmoodstavce"/>
    <w:rPr>
      <w:rFonts w:ascii="Cambria" w:hAnsi="Cambria" w:cs="F"/>
      <w:color w:val="595959"/>
    </w:rPr>
  </w:style>
  <w:style w:type="character" w:customStyle="1" w:styleId="Nadpis7Char">
    <w:name w:val="Nadpis 7 Char"/>
    <w:basedOn w:val="Standardnpsmoodstavce"/>
    <w:rPr>
      <w:rFonts w:ascii="Cambria" w:hAnsi="Cambria" w:cs="F"/>
      <w:i/>
      <w:iCs/>
      <w:color w:val="595959"/>
    </w:rPr>
  </w:style>
  <w:style w:type="character" w:customStyle="1" w:styleId="Nadpis8Char">
    <w:name w:val="Nadpis 8 Char"/>
    <w:basedOn w:val="Standardnpsmoodstavce"/>
    <w:rPr>
      <w:rFonts w:ascii="Cambria" w:hAnsi="Cambria" w:cs="F"/>
      <w:smallCaps/>
      <w:color w:val="595959"/>
    </w:rPr>
  </w:style>
  <w:style w:type="character" w:customStyle="1" w:styleId="Nadpis9Char">
    <w:name w:val="Nadpis 9 Char"/>
    <w:basedOn w:val="Standardnpsmoodstavce"/>
    <w:rPr>
      <w:rFonts w:ascii="Cambria" w:hAnsi="Cambria" w:cs="F"/>
      <w:i/>
      <w:iCs/>
      <w:smallCaps/>
      <w:color w:val="595959"/>
    </w:rPr>
  </w:style>
  <w:style w:type="character" w:customStyle="1" w:styleId="NzevChar">
    <w:name w:val="Název Char"/>
    <w:basedOn w:val="Standardnpsmoodstavce"/>
    <w:rPr>
      <w:rFonts w:ascii="Cambria" w:hAnsi="Cambria" w:cs="F"/>
      <w:color w:val="365F91"/>
      <w:spacing w:val="-7"/>
      <w:sz w:val="80"/>
      <w:szCs w:val="80"/>
    </w:rPr>
  </w:style>
  <w:style w:type="character" w:customStyle="1" w:styleId="PodnadpisChar">
    <w:name w:val="Podnadpis Char"/>
    <w:basedOn w:val="Standardnpsmoodstavce"/>
    <w:rPr>
      <w:rFonts w:ascii="Cambria" w:hAnsi="Cambria" w:cs="F"/>
      <w:color w:val="404040"/>
      <w:sz w:val="30"/>
      <w:szCs w:val="30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CittChar">
    <w:name w:val="Citát Char"/>
    <w:basedOn w:val="Standardnpsmoodstavce"/>
    <w:rPr>
      <w:i/>
      <w:iCs/>
    </w:rPr>
  </w:style>
  <w:style w:type="character" w:customStyle="1" w:styleId="VrazncittChar">
    <w:name w:val="Výrazný citát Char"/>
    <w:basedOn w:val="Standardnpsmoodstavce"/>
    <w:rPr>
      <w:rFonts w:ascii="Cambria" w:hAnsi="Cambria" w:cs="F"/>
      <w:color w:val="4F81BD"/>
      <w:sz w:val="28"/>
      <w:szCs w:val="28"/>
    </w:rPr>
  </w:style>
  <w:style w:type="character" w:styleId="Zdraznnjemn">
    <w:name w:val="Subtle Emphasis"/>
    <w:basedOn w:val="Standardnpsmoodstavce"/>
    <w:rPr>
      <w:i/>
      <w:iCs/>
      <w:color w:val="595959"/>
    </w:rPr>
  </w:style>
  <w:style w:type="character" w:styleId="Zdraznnintenzivn">
    <w:name w:val="Intense Emphasis"/>
    <w:basedOn w:val="Standardnpsmoodstavce"/>
    <w:rPr>
      <w:b/>
      <w:bCs/>
      <w:i/>
      <w:iCs/>
    </w:rPr>
  </w:style>
  <w:style w:type="character" w:styleId="Odkazjemn">
    <w:name w:val="Subtle Reference"/>
    <w:basedOn w:val="Standardnpsmoodstavce"/>
    <w:rPr>
      <w:smallCaps/>
      <w:color w:val="404040"/>
    </w:rPr>
  </w:style>
  <w:style w:type="character" w:styleId="Odkazintenzivn">
    <w:name w:val="Intense Reference"/>
    <w:basedOn w:val="Standardnpsmoodstavce"/>
    <w:rPr>
      <w:b/>
      <w:bCs/>
      <w:smallCaps/>
      <w:u w:val="single"/>
    </w:rPr>
  </w:style>
  <w:style w:type="character" w:styleId="Nzevknihy">
    <w:name w:val="Book Title"/>
    <w:basedOn w:val="Standardnpsmoodstavce"/>
    <w:rPr>
      <w:b/>
      <w:bCs/>
      <w:smallCap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4638</Characters>
  <Application>Microsoft Office Word</Application>
  <DocSecurity>4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Hasoň</dc:creator>
  <cp:lastModifiedBy>Milan Strya</cp:lastModifiedBy>
  <cp:revision>2</cp:revision>
  <cp:lastPrinted>2022-12-05T10:18:00Z</cp:lastPrinted>
  <dcterms:created xsi:type="dcterms:W3CDTF">2023-04-11T12:46:00Z</dcterms:created>
  <dcterms:modified xsi:type="dcterms:W3CDTF">2023-04-11T12:46:00Z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