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D16" w:rsidRDefault="00D73D16">
      <w:pPr>
        <w:pStyle w:val="Zkladntext"/>
        <w:rPr>
          <w:rFonts w:ascii="Times New Roman"/>
          <w:sz w:val="20"/>
        </w:rPr>
      </w:pPr>
    </w:p>
    <w:p w:rsidR="00D73D16" w:rsidRDefault="00D73D16">
      <w:pPr>
        <w:pStyle w:val="Zkladntext"/>
        <w:rPr>
          <w:rFonts w:ascii="Times New Roman"/>
          <w:sz w:val="20"/>
        </w:rPr>
      </w:pPr>
    </w:p>
    <w:p w:rsidR="00D73D16" w:rsidRDefault="00D73D16">
      <w:pPr>
        <w:pStyle w:val="Zkladntext"/>
        <w:spacing w:before="8"/>
        <w:rPr>
          <w:rFonts w:ascii="Times New Roman"/>
          <w:sz w:val="11"/>
        </w:rPr>
      </w:pPr>
    </w:p>
    <w:tbl>
      <w:tblPr>
        <w:tblStyle w:val="TableNormal"/>
        <w:tblW w:w="0" w:type="auto"/>
        <w:tblInd w:w="23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127"/>
        <w:gridCol w:w="6978"/>
      </w:tblGrid>
      <w:tr w:rsidR="00D73D16">
        <w:trPr>
          <w:trHeight w:val="426"/>
        </w:trPr>
        <w:tc>
          <w:tcPr>
            <w:tcW w:w="2127" w:type="dxa"/>
          </w:tcPr>
          <w:p w:rsidR="00D73D16" w:rsidRDefault="004D7150">
            <w:pPr>
              <w:pStyle w:val="TableParagraph"/>
              <w:spacing w:line="219" w:lineRule="exact"/>
              <w:rPr>
                <w:b/>
                <w:sz w:val="18"/>
              </w:rPr>
            </w:pPr>
            <w:r>
              <w:rPr>
                <w:b/>
                <w:sz w:val="18"/>
              </w:rPr>
              <w:t>Obchodní firma:</w:t>
            </w:r>
          </w:p>
        </w:tc>
        <w:tc>
          <w:tcPr>
            <w:tcW w:w="6978" w:type="dxa"/>
          </w:tcPr>
          <w:p w:rsidR="00D73D16" w:rsidRDefault="004D7150">
            <w:pPr>
              <w:pStyle w:val="TableParagraph"/>
              <w:spacing w:line="219" w:lineRule="exact"/>
              <w:rPr>
                <w:b/>
                <w:sz w:val="18"/>
              </w:rPr>
            </w:pPr>
            <w:r>
              <w:rPr>
                <w:b/>
                <w:sz w:val="18"/>
              </w:rPr>
              <w:t>MERO ČR, a.s.</w:t>
            </w:r>
          </w:p>
        </w:tc>
      </w:tr>
      <w:tr w:rsidR="00D73D16">
        <w:trPr>
          <w:trHeight w:val="421"/>
        </w:trPr>
        <w:tc>
          <w:tcPr>
            <w:tcW w:w="2127" w:type="dxa"/>
          </w:tcPr>
          <w:p w:rsidR="00D73D16" w:rsidRDefault="004D7150">
            <w:pPr>
              <w:pStyle w:val="TableParagraph"/>
              <w:spacing w:line="219" w:lineRule="exact"/>
              <w:rPr>
                <w:b/>
                <w:sz w:val="18"/>
              </w:rPr>
            </w:pPr>
            <w:r>
              <w:rPr>
                <w:b/>
                <w:sz w:val="18"/>
              </w:rPr>
              <w:t>Sídlo:</w:t>
            </w:r>
          </w:p>
        </w:tc>
        <w:tc>
          <w:tcPr>
            <w:tcW w:w="6978" w:type="dxa"/>
          </w:tcPr>
          <w:p w:rsidR="00D73D16" w:rsidRDefault="004D7150">
            <w:pPr>
              <w:pStyle w:val="TableParagraph"/>
              <w:spacing w:line="219" w:lineRule="exact"/>
              <w:rPr>
                <w:b/>
                <w:sz w:val="18"/>
              </w:rPr>
            </w:pPr>
            <w:r>
              <w:rPr>
                <w:b/>
                <w:sz w:val="18"/>
              </w:rPr>
              <w:t>Veltruská 748, 278 01 Kralupy nad Vltavou</w:t>
            </w:r>
          </w:p>
        </w:tc>
      </w:tr>
      <w:tr w:rsidR="00D73D16">
        <w:trPr>
          <w:trHeight w:val="424"/>
        </w:trPr>
        <w:tc>
          <w:tcPr>
            <w:tcW w:w="2127" w:type="dxa"/>
          </w:tcPr>
          <w:p w:rsidR="00D73D16" w:rsidRDefault="004D7150">
            <w:pPr>
              <w:pStyle w:val="TableParagraph"/>
              <w:spacing w:before="1"/>
              <w:rPr>
                <w:b/>
                <w:sz w:val="18"/>
              </w:rPr>
            </w:pPr>
            <w:r>
              <w:rPr>
                <w:b/>
                <w:sz w:val="18"/>
              </w:rPr>
              <w:t>IČO:</w:t>
            </w:r>
          </w:p>
        </w:tc>
        <w:tc>
          <w:tcPr>
            <w:tcW w:w="6978" w:type="dxa"/>
          </w:tcPr>
          <w:p w:rsidR="00D73D16" w:rsidRDefault="004D7150">
            <w:pPr>
              <w:pStyle w:val="TableParagraph"/>
              <w:spacing w:before="1"/>
              <w:rPr>
                <w:b/>
                <w:sz w:val="18"/>
              </w:rPr>
            </w:pPr>
            <w:r>
              <w:rPr>
                <w:b/>
                <w:sz w:val="18"/>
              </w:rPr>
              <w:t>60193468</w:t>
            </w:r>
          </w:p>
        </w:tc>
      </w:tr>
      <w:tr w:rsidR="00D73D16">
        <w:trPr>
          <w:trHeight w:val="424"/>
        </w:trPr>
        <w:tc>
          <w:tcPr>
            <w:tcW w:w="2127" w:type="dxa"/>
          </w:tcPr>
          <w:p w:rsidR="00D73D16" w:rsidRDefault="004D7150">
            <w:pPr>
              <w:pStyle w:val="TableParagraph"/>
              <w:spacing w:line="219" w:lineRule="exact"/>
              <w:rPr>
                <w:b/>
                <w:sz w:val="18"/>
              </w:rPr>
            </w:pPr>
            <w:r>
              <w:rPr>
                <w:b/>
                <w:sz w:val="18"/>
              </w:rPr>
              <w:t>E-mail:</w:t>
            </w:r>
          </w:p>
        </w:tc>
        <w:tc>
          <w:tcPr>
            <w:tcW w:w="6978" w:type="dxa"/>
          </w:tcPr>
          <w:p w:rsidR="00D73D16" w:rsidRDefault="004D7150">
            <w:pPr>
              <w:pStyle w:val="TableParagraph"/>
              <w:spacing w:line="219" w:lineRule="exact"/>
              <w:rPr>
                <w:b/>
                <w:sz w:val="18"/>
              </w:rPr>
            </w:pPr>
            <w:hyperlink r:id="rId7">
              <w:r>
                <w:rPr>
                  <w:b/>
                  <w:sz w:val="18"/>
                </w:rPr>
                <w:t>x</w:t>
              </w:r>
            </w:hyperlink>
          </w:p>
        </w:tc>
      </w:tr>
      <w:tr w:rsidR="00D73D16">
        <w:trPr>
          <w:trHeight w:val="515"/>
        </w:trPr>
        <w:tc>
          <w:tcPr>
            <w:tcW w:w="2127" w:type="dxa"/>
          </w:tcPr>
          <w:p w:rsidR="00D73D16" w:rsidRDefault="004D7150">
            <w:pPr>
              <w:pStyle w:val="TableParagraph"/>
              <w:spacing w:line="219" w:lineRule="exact"/>
              <w:rPr>
                <w:b/>
                <w:sz w:val="18"/>
              </w:rPr>
            </w:pPr>
            <w:r>
              <w:rPr>
                <w:b/>
                <w:sz w:val="18"/>
              </w:rPr>
              <w:t>Telefon</w:t>
            </w:r>
          </w:p>
        </w:tc>
        <w:tc>
          <w:tcPr>
            <w:tcW w:w="6978" w:type="dxa"/>
          </w:tcPr>
          <w:p w:rsidR="00D73D16" w:rsidRDefault="004D7150">
            <w:pPr>
              <w:pStyle w:val="TableParagraph"/>
              <w:spacing w:line="219" w:lineRule="exact"/>
              <w:rPr>
                <w:b/>
                <w:sz w:val="18"/>
              </w:rPr>
            </w:pPr>
            <w:r>
              <w:rPr>
                <w:b/>
                <w:sz w:val="18"/>
              </w:rPr>
              <w:t>x</w:t>
            </w:r>
          </w:p>
        </w:tc>
      </w:tr>
    </w:tbl>
    <w:p w:rsidR="00D73D16" w:rsidRDefault="004D7150">
      <w:pPr>
        <w:spacing w:line="219" w:lineRule="exact"/>
        <w:ind w:left="118"/>
        <w:rPr>
          <w:sz w:val="18"/>
        </w:rPr>
      </w:pPr>
      <w:r>
        <w:rPr>
          <w:sz w:val="18"/>
        </w:rPr>
        <w:t>(„</w:t>
      </w:r>
      <w:r>
        <w:rPr>
          <w:b/>
          <w:sz w:val="18"/>
        </w:rPr>
        <w:t>Klient</w:t>
      </w:r>
      <w:r>
        <w:rPr>
          <w:sz w:val="18"/>
        </w:rPr>
        <w:t>“)</w:t>
      </w:r>
    </w:p>
    <w:p w:rsidR="00D73D16" w:rsidRDefault="00D73D16">
      <w:pPr>
        <w:pStyle w:val="Zkladntext"/>
        <w:spacing w:before="5"/>
      </w:pPr>
    </w:p>
    <w:p w:rsidR="00D73D16" w:rsidRDefault="004D7150">
      <w:pPr>
        <w:pStyle w:val="Nadpis1"/>
        <w:ind w:left="118"/>
      </w:pPr>
      <w:r>
        <w:t xml:space="preserve">tímto objednává u společnosti </w:t>
      </w:r>
      <w:proofErr w:type="spellStart"/>
      <w:r>
        <w:t>Chrenek</w:t>
      </w:r>
      <w:proofErr w:type="spellEnd"/>
      <w:r>
        <w:t>, Toman, Kotrba advokátní kancelář spol. s r. o.</w:t>
      </w:r>
    </w:p>
    <w:p w:rsidR="00D73D16" w:rsidRDefault="004D7150">
      <w:pPr>
        <w:pStyle w:val="Zkladntext"/>
        <w:tabs>
          <w:tab w:val="left" w:pos="1820"/>
        </w:tabs>
        <w:spacing w:before="3" w:line="219" w:lineRule="exact"/>
        <w:ind w:left="118"/>
      </w:pPr>
      <w:r>
        <w:t>se</w:t>
      </w:r>
      <w:r>
        <w:rPr>
          <w:spacing w:val="-3"/>
        </w:rPr>
        <w:t xml:space="preserve"> </w:t>
      </w:r>
      <w:r>
        <w:t>sídlem:</w:t>
      </w:r>
      <w:r>
        <w:tab/>
      </w:r>
      <w:proofErr w:type="spellStart"/>
      <w:r>
        <w:t>Těšnov</w:t>
      </w:r>
      <w:proofErr w:type="spellEnd"/>
      <w:r>
        <w:t xml:space="preserve"> 1/1059, Praha 1, PSČ: 110</w:t>
      </w:r>
      <w:r>
        <w:rPr>
          <w:spacing w:val="-2"/>
        </w:rPr>
        <w:t xml:space="preserve"> </w:t>
      </w:r>
      <w:r>
        <w:t>00</w:t>
      </w:r>
    </w:p>
    <w:p w:rsidR="00D73D16" w:rsidRDefault="004D7150">
      <w:pPr>
        <w:pStyle w:val="Zkladntext"/>
        <w:tabs>
          <w:tab w:val="right" w:pos="2631"/>
        </w:tabs>
        <w:spacing w:line="218" w:lineRule="exact"/>
        <w:ind w:left="118"/>
      </w:pPr>
      <w:r>
        <w:t>IČO:</w:t>
      </w:r>
      <w:r>
        <w:tab/>
        <w:t>285 05</w:t>
      </w:r>
      <w:r>
        <w:rPr>
          <w:spacing w:val="-5"/>
        </w:rPr>
        <w:t xml:space="preserve"> </w:t>
      </w:r>
      <w:r>
        <w:t>913</w:t>
      </w:r>
    </w:p>
    <w:p w:rsidR="00D73D16" w:rsidRDefault="004D7150">
      <w:pPr>
        <w:pStyle w:val="Zkladntext"/>
        <w:tabs>
          <w:tab w:val="left" w:pos="1820"/>
        </w:tabs>
        <w:spacing w:line="219" w:lineRule="exact"/>
        <w:ind w:left="118"/>
      </w:pPr>
      <w:r>
        <w:t>DIČ:</w:t>
      </w:r>
      <w:r>
        <w:tab/>
        <w:t>CZ28505913</w:t>
      </w:r>
    </w:p>
    <w:p w:rsidR="00D73D16" w:rsidRDefault="004D7150">
      <w:pPr>
        <w:pStyle w:val="Zkladntext"/>
        <w:tabs>
          <w:tab w:val="left" w:pos="1820"/>
        </w:tabs>
        <w:spacing w:before="4"/>
        <w:ind w:left="118" w:right="2599"/>
      </w:pPr>
      <w:r>
        <w:t>bankovní</w:t>
      </w:r>
      <w:r>
        <w:rPr>
          <w:spacing w:val="-3"/>
        </w:rPr>
        <w:t xml:space="preserve"> </w:t>
      </w:r>
      <w:r>
        <w:t>spojení:</w:t>
      </w:r>
      <w:r>
        <w:tab/>
      </w:r>
      <w:proofErr w:type="spellStart"/>
      <w:r>
        <w:t>UniCredit</w:t>
      </w:r>
      <w:proofErr w:type="spellEnd"/>
      <w:r>
        <w:t xml:space="preserve"> Bank Czech Republic and Slovakia, a.s., č. </w:t>
      </w:r>
      <w:proofErr w:type="spellStart"/>
      <w:r>
        <w:t>ú.</w:t>
      </w:r>
      <w:proofErr w:type="spellEnd"/>
      <w:r>
        <w:t>: x</w:t>
      </w:r>
      <w:r>
        <w:t xml:space="preserve"> </w:t>
      </w:r>
      <w:r>
        <w:t>(„</w:t>
      </w:r>
      <w:r>
        <w:rPr>
          <w:b/>
        </w:rPr>
        <w:t>Advokátní</w:t>
      </w:r>
      <w:r>
        <w:rPr>
          <w:b/>
          <w:spacing w:val="-3"/>
        </w:rPr>
        <w:t xml:space="preserve"> </w:t>
      </w:r>
      <w:r>
        <w:rPr>
          <w:b/>
        </w:rPr>
        <w:t>kancelář</w:t>
      </w:r>
      <w:r>
        <w:t>“)</w:t>
      </w:r>
    </w:p>
    <w:p w:rsidR="00D73D16" w:rsidRDefault="00D73D16">
      <w:pPr>
        <w:pStyle w:val="Zkladntext"/>
        <w:spacing w:before="3"/>
      </w:pPr>
    </w:p>
    <w:p w:rsidR="00D73D16" w:rsidRDefault="004D7150">
      <w:pPr>
        <w:pStyle w:val="Nadpis1"/>
        <w:ind w:left="118"/>
      </w:pPr>
      <w:r>
        <w:t>následující právní služby:</w:t>
      </w:r>
    </w:p>
    <w:p w:rsidR="00D73D16" w:rsidRDefault="004D7150">
      <w:pPr>
        <w:pStyle w:val="Zkladntext"/>
        <w:rPr>
          <w:b/>
          <w:sz w:val="15"/>
        </w:rPr>
      </w:pPr>
      <w:r>
        <w:pict>
          <v:shapetype id="_x0000_t202" coordsize="21600,21600" o:spt="202" path="m,l,21600r21600,l21600,xe">
            <v:stroke joinstyle="miter"/>
            <v:path gradientshapeok="t" o:connecttype="rect"/>
          </v:shapetype>
          <v:shape id="_x0000_s1036" type="#_x0000_t202" style="position:absolute;margin-left:76.6pt;margin-top:11.4pt;width:455.25pt;height:22.7pt;z-index:-251660288;mso-wrap-distance-left:0;mso-wrap-distance-right:0;mso-position-horizontal-relative:page" filled="f" strokecolor="#d9d9d9" strokeweight=".16936mm">
            <v:textbox inset="0,0,0,0">
              <w:txbxContent>
                <w:p w:rsidR="00D73D16" w:rsidRDefault="004D7150">
                  <w:pPr>
                    <w:spacing w:line="244" w:lineRule="auto"/>
                    <w:ind w:left="103"/>
                    <w:rPr>
                      <w:sz w:val="18"/>
                    </w:rPr>
                  </w:pPr>
                  <w:r>
                    <w:rPr>
                      <w:b/>
                      <w:sz w:val="18"/>
                    </w:rPr>
                    <w:t>poskytování právního poradenství v oblasti občanského, obchodního a korporátního práva na základě aktuálních a konkrétních potřeb Klienta (konzultace, rady, stanoviska, revize/sepis listin/podání apod.</w:t>
                  </w:r>
                  <w:r>
                    <w:rPr>
                      <w:b/>
                      <w:sz w:val="18"/>
                    </w:rPr>
                    <w:t xml:space="preserve">) </w:t>
                  </w:r>
                  <w:r>
                    <w:rPr>
                      <w:sz w:val="18"/>
                    </w:rPr>
                    <w:t>(„</w:t>
                  </w:r>
                  <w:r>
                    <w:rPr>
                      <w:b/>
                      <w:sz w:val="18"/>
                    </w:rPr>
                    <w:t>Právní služby</w:t>
                  </w:r>
                  <w:r>
                    <w:rPr>
                      <w:sz w:val="18"/>
                    </w:rPr>
                    <w:t>“),</w:t>
                  </w:r>
                </w:p>
              </w:txbxContent>
            </v:textbox>
            <w10:wrap type="topAndBottom" anchorx="page"/>
          </v:shape>
        </w:pict>
      </w:r>
    </w:p>
    <w:p w:rsidR="00D73D16" w:rsidRDefault="00D73D16">
      <w:pPr>
        <w:pStyle w:val="Zkladntext"/>
        <w:spacing w:before="4"/>
        <w:rPr>
          <w:b/>
          <w:sz w:val="10"/>
        </w:rPr>
      </w:pPr>
    </w:p>
    <w:p w:rsidR="00D73D16" w:rsidRDefault="004D7150">
      <w:pPr>
        <w:spacing w:before="64"/>
        <w:ind w:left="118"/>
        <w:rPr>
          <w:b/>
          <w:sz w:val="18"/>
        </w:rPr>
      </w:pPr>
      <w:r>
        <w:rPr>
          <w:b/>
          <w:sz w:val="18"/>
        </w:rPr>
        <w:t>a to za odměnu ve výši:</w:t>
      </w:r>
    </w:p>
    <w:p w:rsidR="00D73D16" w:rsidRDefault="004D7150">
      <w:pPr>
        <w:pStyle w:val="Zkladntext"/>
        <w:ind w:left="226"/>
        <w:rPr>
          <w:sz w:val="20"/>
        </w:rPr>
      </w:pPr>
      <w:r>
        <w:rPr>
          <w:sz w:val="20"/>
        </w:rPr>
      </w:r>
      <w:r>
        <w:rPr>
          <w:sz w:val="20"/>
        </w:rPr>
        <w:pict>
          <v:shape id="_x0000_s1035" type="#_x0000_t202" style="width:455.25pt;height:22.6pt;mso-left-percent:-10001;mso-top-percent:-10001;mso-position-horizontal:absolute;mso-position-horizontal-relative:char;mso-position-vertical:absolute;mso-position-vertical-relative:line;mso-left-percent:-10001;mso-top-percent:-10001" filled="f" strokecolor="#d9d9d9" strokeweight=".16936mm">
            <v:textbox inset="0,0,0,0">
              <w:txbxContent>
                <w:p w:rsidR="00D73D16" w:rsidRDefault="004D7150">
                  <w:pPr>
                    <w:pStyle w:val="Zkladntext"/>
                    <w:spacing w:before="1"/>
                    <w:ind w:left="103"/>
                  </w:pPr>
                  <w:proofErr w:type="gramStart"/>
                  <w:r>
                    <w:t>x</w:t>
                  </w:r>
                  <w:r>
                    <w:t>,-</w:t>
                  </w:r>
                  <w:proofErr w:type="gramEnd"/>
                  <w:r>
                    <w:t xml:space="preserve"> Kč za 1 hodinu poskytování Právních služeb, avšak celková maximální nepřekročitelná odměna za Právní služby poskytnuté podle této Smlouvy nepřesáhne celkem částku ve výši 600.000,- Kč</w:t>
                  </w:r>
                </w:p>
              </w:txbxContent>
            </v:textbox>
            <w10:anchorlock/>
          </v:shape>
        </w:pict>
      </w:r>
    </w:p>
    <w:p w:rsidR="00D73D16" w:rsidRDefault="00D73D16">
      <w:pPr>
        <w:pStyle w:val="Zkladntext"/>
        <w:spacing w:before="5"/>
        <w:rPr>
          <w:b/>
          <w:sz w:val="10"/>
        </w:rPr>
      </w:pPr>
    </w:p>
    <w:p w:rsidR="00D73D16" w:rsidRDefault="004D7150">
      <w:pPr>
        <w:spacing w:before="63"/>
        <w:ind w:left="118" w:right="286"/>
        <w:jc w:val="both"/>
        <w:rPr>
          <w:sz w:val="18"/>
        </w:rPr>
      </w:pPr>
      <w:r>
        <w:rPr>
          <w:b/>
          <w:sz w:val="18"/>
        </w:rPr>
        <w:t xml:space="preserve">splatnou </w:t>
      </w:r>
      <w:r>
        <w:rPr>
          <w:sz w:val="18"/>
        </w:rPr>
        <w:t xml:space="preserve">spolu s náhradou hotových výdajů a náhradou za promeškaný čas proti příslušným daňovým dokladům vystaveným nejpozději </w:t>
      </w:r>
      <w:r>
        <w:rPr>
          <w:b/>
          <w:sz w:val="18"/>
        </w:rPr>
        <w:t xml:space="preserve">k desátému dni </w:t>
      </w:r>
      <w:r>
        <w:rPr>
          <w:sz w:val="18"/>
        </w:rPr>
        <w:t xml:space="preserve">měsíce bezprostředně </w:t>
      </w:r>
      <w:r>
        <w:rPr>
          <w:b/>
          <w:sz w:val="18"/>
        </w:rPr>
        <w:t>následujícího po měsíci poskytnutí Právních služeb</w:t>
      </w:r>
      <w:r>
        <w:rPr>
          <w:sz w:val="18"/>
        </w:rPr>
        <w:t xml:space="preserve">. K částkám účtovaným Advokátní kanceláří bude </w:t>
      </w:r>
      <w:r>
        <w:rPr>
          <w:b/>
          <w:sz w:val="18"/>
        </w:rPr>
        <w:t xml:space="preserve">připočtena daň z přidané hodnoty </w:t>
      </w:r>
      <w:r>
        <w:rPr>
          <w:sz w:val="18"/>
        </w:rPr>
        <w:t>v souladu se zvláštními právními předpisy.</w:t>
      </w:r>
    </w:p>
    <w:p w:rsidR="00D73D16" w:rsidRDefault="00D73D16">
      <w:pPr>
        <w:pStyle w:val="Zkladntext"/>
      </w:pPr>
    </w:p>
    <w:p w:rsidR="00D73D16" w:rsidRDefault="004D7150">
      <w:pPr>
        <w:pStyle w:val="Zkladntext"/>
        <w:ind w:left="118"/>
        <w:jc w:val="both"/>
      </w:pPr>
      <w:r>
        <w:t xml:space="preserve">Advokátní kancelář bude odměnu za Právní služby účtovat za každých započatých pět </w:t>
      </w:r>
      <w:r>
        <w:t>minut.</w:t>
      </w:r>
    </w:p>
    <w:p w:rsidR="00D73D16" w:rsidRDefault="00D73D16">
      <w:pPr>
        <w:pStyle w:val="Zkladntext"/>
        <w:rPr>
          <w:sz w:val="20"/>
        </w:rPr>
      </w:pPr>
    </w:p>
    <w:p w:rsidR="00D73D16" w:rsidRDefault="00D73D16">
      <w:pPr>
        <w:pStyle w:val="Zkladntext"/>
        <w:spacing w:before="9"/>
        <w:rPr>
          <w:sz w:val="28"/>
        </w:rPr>
      </w:pPr>
    </w:p>
    <w:p w:rsidR="00D73D16" w:rsidRDefault="004D7150">
      <w:pPr>
        <w:pStyle w:val="Zkladntext"/>
        <w:spacing w:before="64" w:line="219" w:lineRule="exact"/>
        <w:ind w:left="118"/>
      </w:pPr>
      <w:r>
        <w:t>Další ustanovení:</w:t>
      </w:r>
    </w:p>
    <w:p w:rsidR="00D73D16" w:rsidRDefault="004D7150">
      <w:pPr>
        <w:pStyle w:val="Nadpis1"/>
        <w:spacing w:line="219" w:lineRule="exact"/>
        <w:ind w:left="41" w:right="263"/>
        <w:jc w:val="center"/>
      </w:pPr>
      <w:r>
        <w:t>1.</w:t>
      </w:r>
    </w:p>
    <w:p w:rsidR="00D73D16" w:rsidRDefault="004D7150">
      <w:pPr>
        <w:pStyle w:val="Odstavecseseznamem"/>
        <w:numPr>
          <w:ilvl w:val="1"/>
          <w:numId w:val="2"/>
        </w:numPr>
        <w:tabs>
          <w:tab w:val="left" w:pos="602"/>
        </w:tabs>
        <w:ind w:right="292"/>
        <w:jc w:val="both"/>
        <w:rPr>
          <w:sz w:val="18"/>
        </w:rPr>
      </w:pPr>
      <w:r>
        <w:rPr>
          <w:sz w:val="18"/>
        </w:rPr>
        <w:t>Klient</w:t>
      </w:r>
      <w:r>
        <w:rPr>
          <w:spacing w:val="-8"/>
          <w:sz w:val="18"/>
        </w:rPr>
        <w:t xml:space="preserve"> </w:t>
      </w:r>
      <w:r>
        <w:rPr>
          <w:sz w:val="18"/>
        </w:rPr>
        <w:t>podpisem</w:t>
      </w:r>
      <w:r>
        <w:rPr>
          <w:spacing w:val="-9"/>
          <w:sz w:val="18"/>
        </w:rPr>
        <w:t xml:space="preserve"> </w:t>
      </w:r>
      <w:r>
        <w:rPr>
          <w:sz w:val="18"/>
        </w:rPr>
        <w:t>této</w:t>
      </w:r>
      <w:r>
        <w:rPr>
          <w:spacing w:val="-9"/>
          <w:sz w:val="18"/>
        </w:rPr>
        <w:t xml:space="preserve"> </w:t>
      </w:r>
      <w:r>
        <w:rPr>
          <w:sz w:val="18"/>
        </w:rPr>
        <w:t>Smlouvy</w:t>
      </w:r>
      <w:r>
        <w:rPr>
          <w:spacing w:val="-7"/>
          <w:sz w:val="18"/>
        </w:rPr>
        <w:t xml:space="preserve"> </w:t>
      </w:r>
      <w:r>
        <w:rPr>
          <w:sz w:val="18"/>
        </w:rPr>
        <w:t>potvrzuje,</w:t>
      </w:r>
      <w:r>
        <w:rPr>
          <w:spacing w:val="-9"/>
          <w:sz w:val="18"/>
        </w:rPr>
        <w:t xml:space="preserve"> </w:t>
      </w:r>
      <w:r>
        <w:rPr>
          <w:sz w:val="18"/>
        </w:rPr>
        <w:t>že</w:t>
      </w:r>
      <w:r>
        <w:rPr>
          <w:spacing w:val="-9"/>
          <w:sz w:val="18"/>
        </w:rPr>
        <w:t xml:space="preserve"> </w:t>
      </w:r>
      <w:r>
        <w:rPr>
          <w:sz w:val="18"/>
        </w:rPr>
        <w:t>Právní</w:t>
      </w:r>
      <w:r>
        <w:rPr>
          <w:spacing w:val="-10"/>
          <w:sz w:val="18"/>
        </w:rPr>
        <w:t xml:space="preserve"> </w:t>
      </w:r>
      <w:r>
        <w:rPr>
          <w:sz w:val="18"/>
        </w:rPr>
        <w:t>služby</w:t>
      </w:r>
      <w:r>
        <w:rPr>
          <w:spacing w:val="-7"/>
          <w:sz w:val="18"/>
        </w:rPr>
        <w:t xml:space="preserve"> </w:t>
      </w:r>
      <w:r>
        <w:rPr>
          <w:sz w:val="18"/>
        </w:rPr>
        <w:t>byly</w:t>
      </w:r>
      <w:r>
        <w:rPr>
          <w:spacing w:val="-9"/>
          <w:sz w:val="18"/>
        </w:rPr>
        <w:t xml:space="preserve"> </w:t>
      </w:r>
      <w:r>
        <w:rPr>
          <w:sz w:val="18"/>
        </w:rPr>
        <w:t>Klientovi</w:t>
      </w:r>
      <w:r>
        <w:rPr>
          <w:spacing w:val="-9"/>
          <w:sz w:val="18"/>
        </w:rPr>
        <w:t xml:space="preserve"> </w:t>
      </w:r>
      <w:r>
        <w:rPr>
          <w:sz w:val="18"/>
        </w:rPr>
        <w:t>Advokátní</w:t>
      </w:r>
      <w:r>
        <w:rPr>
          <w:spacing w:val="-10"/>
          <w:sz w:val="18"/>
        </w:rPr>
        <w:t xml:space="preserve"> </w:t>
      </w:r>
      <w:r>
        <w:rPr>
          <w:sz w:val="18"/>
        </w:rPr>
        <w:t>kanceláří</w:t>
      </w:r>
      <w:r>
        <w:rPr>
          <w:spacing w:val="-8"/>
          <w:sz w:val="18"/>
        </w:rPr>
        <w:t xml:space="preserve"> </w:t>
      </w:r>
      <w:r>
        <w:rPr>
          <w:sz w:val="18"/>
        </w:rPr>
        <w:t>poskytovány</w:t>
      </w:r>
      <w:r>
        <w:rPr>
          <w:spacing w:val="-10"/>
          <w:sz w:val="18"/>
        </w:rPr>
        <w:t xml:space="preserve"> </w:t>
      </w:r>
      <w:r>
        <w:rPr>
          <w:sz w:val="18"/>
        </w:rPr>
        <w:t>již</w:t>
      </w:r>
      <w:r>
        <w:rPr>
          <w:spacing w:val="-9"/>
          <w:sz w:val="18"/>
        </w:rPr>
        <w:t xml:space="preserve"> </w:t>
      </w:r>
      <w:r>
        <w:rPr>
          <w:sz w:val="18"/>
        </w:rPr>
        <w:t>před</w:t>
      </w:r>
      <w:r>
        <w:rPr>
          <w:spacing w:val="-7"/>
          <w:sz w:val="18"/>
        </w:rPr>
        <w:t xml:space="preserve"> </w:t>
      </w:r>
      <w:r>
        <w:rPr>
          <w:sz w:val="18"/>
        </w:rPr>
        <w:t>podpisem této</w:t>
      </w:r>
      <w:r>
        <w:rPr>
          <w:spacing w:val="-1"/>
          <w:sz w:val="18"/>
        </w:rPr>
        <w:t xml:space="preserve"> </w:t>
      </w:r>
      <w:r>
        <w:rPr>
          <w:sz w:val="18"/>
        </w:rPr>
        <w:t>Smlouvy.</w:t>
      </w:r>
    </w:p>
    <w:p w:rsidR="00D73D16" w:rsidRDefault="004D7150">
      <w:pPr>
        <w:pStyle w:val="Odstavecseseznamem"/>
        <w:numPr>
          <w:ilvl w:val="1"/>
          <w:numId w:val="2"/>
        </w:numPr>
        <w:tabs>
          <w:tab w:val="left" w:pos="602"/>
        </w:tabs>
        <w:spacing w:before="84"/>
        <w:ind w:right="293"/>
        <w:jc w:val="both"/>
        <w:rPr>
          <w:sz w:val="18"/>
        </w:rPr>
      </w:pPr>
      <w:r>
        <w:rPr>
          <w:sz w:val="18"/>
        </w:rPr>
        <w:t>Bude-li o to Advokátní kancelář Klientem písemně požádána, je oprávněna vyúčtovat odměnu stanovenou podle počtu hodin</w:t>
      </w:r>
      <w:r>
        <w:rPr>
          <w:spacing w:val="-9"/>
          <w:sz w:val="18"/>
        </w:rPr>
        <w:t xml:space="preserve"> </w:t>
      </w:r>
      <w:r>
        <w:rPr>
          <w:sz w:val="18"/>
        </w:rPr>
        <w:t>až</w:t>
      </w:r>
      <w:r>
        <w:rPr>
          <w:spacing w:val="-6"/>
          <w:sz w:val="18"/>
        </w:rPr>
        <w:t xml:space="preserve"> </w:t>
      </w:r>
      <w:r>
        <w:rPr>
          <w:sz w:val="18"/>
        </w:rPr>
        <w:t>poté,</w:t>
      </w:r>
      <w:r>
        <w:rPr>
          <w:spacing w:val="-7"/>
          <w:sz w:val="18"/>
        </w:rPr>
        <w:t xml:space="preserve"> </w:t>
      </w:r>
      <w:r>
        <w:rPr>
          <w:sz w:val="18"/>
        </w:rPr>
        <w:t>co</w:t>
      </w:r>
      <w:r>
        <w:rPr>
          <w:spacing w:val="-6"/>
          <w:sz w:val="18"/>
        </w:rPr>
        <w:t xml:space="preserve"> </w:t>
      </w:r>
      <w:r>
        <w:rPr>
          <w:sz w:val="18"/>
        </w:rPr>
        <w:t>počet</w:t>
      </w:r>
      <w:r>
        <w:rPr>
          <w:spacing w:val="-8"/>
          <w:sz w:val="18"/>
        </w:rPr>
        <w:t xml:space="preserve"> </w:t>
      </w:r>
      <w:r>
        <w:rPr>
          <w:sz w:val="18"/>
        </w:rPr>
        <w:t>vykázaných</w:t>
      </w:r>
      <w:r>
        <w:rPr>
          <w:spacing w:val="-8"/>
          <w:sz w:val="18"/>
        </w:rPr>
        <w:t xml:space="preserve"> </w:t>
      </w:r>
      <w:r>
        <w:rPr>
          <w:sz w:val="18"/>
        </w:rPr>
        <w:t>hodin</w:t>
      </w:r>
      <w:r>
        <w:rPr>
          <w:spacing w:val="-9"/>
          <w:sz w:val="18"/>
        </w:rPr>
        <w:t xml:space="preserve"> </w:t>
      </w:r>
      <w:r>
        <w:rPr>
          <w:sz w:val="18"/>
        </w:rPr>
        <w:t>poskytovaných</w:t>
      </w:r>
      <w:r>
        <w:rPr>
          <w:spacing w:val="-8"/>
          <w:sz w:val="18"/>
        </w:rPr>
        <w:t xml:space="preserve"> </w:t>
      </w:r>
      <w:r>
        <w:rPr>
          <w:sz w:val="18"/>
        </w:rPr>
        <w:t>Právních</w:t>
      </w:r>
      <w:r>
        <w:rPr>
          <w:spacing w:val="-6"/>
          <w:sz w:val="18"/>
        </w:rPr>
        <w:t xml:space="preserve"> </w:t>
      </w:r>
      <w:r>
        <w:rPr>
          <w:sz w:val="18"/>
        </w:rPr>
        <w:t>služeb</w:t>
      </w:r>
      <w:r>
        <w:rPr>
          <w:spacing w:val="-8"/>
          <w:sz w:val="18"/>
        </w:rPr>
        <w:t xml:space="preserve"> </w:t>
      </w:r>
      <w:r>
        <w:rPr>
          <w:sz w:val="18"/>
        </w:rPr>
        <w:t>za</w:t>
      </w:r>
      <w:r>
        <w:rPr>
          <w:spacing w:val="-4"/>
          <w:sz w:val="18"/>
        </w:rPr>
        <w:t xml:space="preserve"> </w:t>
      </w:r>
      <w:r>
        <w:rPr>
          <w:sz w:val="18"/>
        </w:rPr>
        <w:t>kalendářní</w:t>
      </w:r>
      <w:r>
        <w:rPr>
          <w:spacing w:val="-9"/>
          <w:sz w:val="18"/>
        </w:rPr>
        <w:t xml:space="preserve"> </w:t>
      </w:r>
      <w:r>
        <w:rPr>
          <w:sz w:val="18"/>
        </w:rPr>
        <w:t>měsíc</w:t>
      </w:r>
      <w:r>
        <w:rPr>
          <w:spacing w:val="-7"/>
          <w:sz w:val="18"/>
        </w:rPr>
        <w:t xml:space="preserve"> </w:t>
      </w:r>
      <w:r>
        <w:rPr>
          <w:sz w:val="18"/>
        </w:rPr>
        <w:t>bude</w:t>
      </w:r>
      <w:r>
        <w:rPr>
          <w:spacing w:val="-6"/>
          <w:sz w:val="18"/>
        </w:rPr>
        <w:t xml:space="preserve"> </w:t>
      </w:r>
      <w:r>
        <w:rPr>
          <w:sz w:val="18"/>
        </w:rPr>
        <w:t>odsouhlasen</w:t>
      </w:r>
      <w:r>
        <w:rPr>
          <w:spacing w:val="-8"/>
          <w:sz w:val="18"/>
        </w:rPr>
        <w:t xml:space="preserve"> </w:t>
      </w:r>
      <w:r>
        <w:rPr>
          <w:sz w:val="18"/>
        </w:rPr>
        <w:t>Klientem. Pokud Klient nesdělí Advok</w:t>
      </w:r>
      <w:r>
        <w:rPr>
          <w:sz w:val="18"/>
        </w:rPr>
        <w:t>átní kanceláři své výhrady k přehledu odpracovaných hodin do 5 dnů od doručení takového přehledu, má se za to, že</w:t>
      </w:r>
      <w:r>
        <w:rPr>
          <w:spacing w:val="-4"/>
          <w:sz w:val="18"/>
        </w:rPr>
        <w:t xml:space="preserve"> </w:t>
      </w:r>
      <w:r>
        <w:rPr>
          <w:sz w:val="18"/>
        </w:rPr>
        <w:t>souhlasí.</w:t>
      </w:r>
    </w:p>
    <w:p w:rsidR="00D73D16" w:rsidRDefault="004D7150">
      <w:pPr>
        <w:pStyle w:val="Odstavecseseznamem"/>
        <w:numPr>
          <w:ilvl w:val="1"/>
          <w:numId w:val="2"/>
        </w:numPr>
        <w:tabs>
          <w:tab w:val="left" w:pos="547"/>
        </w:tabs>
        <w:spacing w:before="86"/>
        <w:ind w:left="685" w:right="288" w:hanging="567"/>
        <w:jc w:val="both"/>
        <w:rPr>
          <w:sz w:val="18"/>
        </w:rPr>
      </w:pPr>
      <w:r>
        <w:rPr>
          <w:sz w:val="18"/>
        </w:rPr>
        <w:t>Klient</w:t>
      </w:r>
      <w:r>
        <w:rPr>
          <w:spacing w:val="-8"/>
          <w:sz w:val="18"/>
        </w:rPr>
        <w:t xml:space="preserve"> </w:t>
      </w:r>
      <w:r>
        <w:rPr>
          <w:sz w:val="18"/>
        </w:rPr>
        <w:t>souhlasí</w:t>
      </w:r>
      <w:r>
        <w:rPr>
          <w:spacing w:val="-8"/>
          <w:sz w:val="18"/>
        </w:rPr>
        <w:t xml:space="preserve"> </w:t>
      </w:r>
      <w:r>
        <w:rPr>
          <w:sz w:val="18"/>
        </w:rPr>
        <w:t>s</w:t>
      </w:r>
      <w:r>
        <w:rPr>
          <w:spacing w:val="-4"/>
          <w:sz w:val="18"/>
        </w:rPr>
        <w:t xml:space="preserve"> </w:t>
      </w:r>
      <w:r>
        <w:rPr>
          <w:sz w:val="18"/>
        </w:rPr>
        <w:t>tím,</w:t>
      </w:r>
      <w:r>
        <w:rPr>
          <w:spacing w:val="-7"/>
          <w:sz w:val="18"/>
        </w:rPr>
        <w:t xml:space="preserve"> </w:t>
      </w:r>
      <w:r>
        <w:rPr>
          <w:sz w:val="18"/>
        </w:rPr>
        <w:t>aby</w:t>
      </w:r>
      <w:r>
        <w:rPr>
          <w:spacing w:val="-7"/>
          <w:sz w:val="18"/>
        </w:rPr>
        <w:t xml:space="preserve"> </w:t>
      </w:r>
      <w:r>
        <w:rPr>
          <w:sz w:val="18"/>
        </w:rPr>
        <w:t>mu</w:t>
      </w:r>
      <w:r>
        <w:rPr>
          <w:spacing w:val="-8"/>
          <w:sz w:val="18"/>
        </w:rPr>
        <w:t xml:space="preserve"> </w:t>
      </w:r>
      <w:r>
        <w:rPr>
          <w:sz w:val="18"/>
        </w:rPr>
        <w:t>byly</w:t>
      </w:r>
      <w:r>
        <w:rPr>
          <w:spacing w:val="-7"/>
          <w:sz w:val="18"/>
        </w:rPr>
        <w:t xml:space="preserve"> </w:t>
      </w:r>
      <w:r>
        <w:rPr>
          <w:sz w:val="18"/>
        </w:rPr>
        <w:t>přehledy</w:t>
      </w:r>
      <w:r>
        <w:rPr>
          <w:spacing w:val="-7"/>
          <w:sz w:val="18"/>
        </w:rPr>
        <w:t xml:space="preserve"> </w:t>
      </w:r>
      <w:r>
        <w:rPr>
          <w:sz w:val="18"/>
        </w:rPr>
        <w:t>vykázaných</w:t>
      </w:r>
      <w:r>
        <w:rPr>
          <w:spacing w:val="-8"/>
          <w:sz w:val="18"/>
        </w:rPr>
        <w:t xml:space="preserve"> </w:t>
      </w:r>
      <w:r>
        <w:rPr>
          <w:sz w:val="18"/>
        </w:rPr>
        <w:t>hodin</w:t>
      </w:r>
      <w:r>
        <w:rPr>
          <w:spacing w:val="-8"/>
          <w:sz w:val="18"/>
        </w:rPr>
        <w:t xml:space="preserve"> </w:t>
      </w:r>
      <w:r>
        <w:rPr>
          <w:sz w:val="18"/>
        </w:rPr>
        <w:t>i</w:t>
      </w:r>
      <w:r>
        <w:rPr>
          <w:spacing w:val="-6"/>
          <w:sz w:val="18"/>
        </w:rPr>
        <w:t xml:space="preserve"> </w:t>
      </w:r>
      <w:r>
        <w:rPr>
          <w:sz w:val="18"/>
        </w:rPr>
        <w:t>daňové</w:t>
      </w:r>
      <w:r>
        <w:rPr>
          <w:spacing w:val="-8"/>
          <w:sz w:val="18"/>
        </w:rPr>
        <w:t xml:space="preserve"> </w:t>
      </w:r>
      <w:r>
        <w:rPr>
          <w:sz w:val="18"/>
        </w:rPr>
        <w:t>doklady</w:t>
      </w:r>
      <w:r>
        <w:rPr>
          <w:spacing w:val="-7"/>
          <w:sz w:val="18"/>
        </w:rPr>
        <w:t xml:space="preserve"> </w:t>
      </w:r>
      <w:r>
        <w:rPr>
          <w:sz w:val="18"/>
        </w:rPr>
        <w:t>Advokátní</w:t>
      </w:r>
      <w:r>
        <w:rPr>
          <w:spacing w:val="-8"/>
          <w:sz w:val="18"/>
        </w:rPr>
        <w:t xml:space="preserve"> </w:t>
      </w:r>
      <w:r>
        <w:rPr>
          <w:sz w:val="18"/>
        </w:rPr>
        <w:t>kanceláří</w:t>
      </w:r>
      <w:r>
        <w:rPr>
          <w:spacing w:val="-8"/>
          <w:sz w:val="18"/>
        </w:rPr>
        <w:t xml:space="preserve"> </w:t>
      </w:r>
      <w:r>
        <w:rPr>
          <w:sz w:val="18"/>
        </w:rPr>
        <w:t>zasílány</w:t>
      </w:r>
      <w:r>
        <w:rPr>
          <w:spacing w:val="-7"/>
          <w:sz w:val="18"/>
        </w:rPr>
        <w:t xml:space="preserve"> </w:t>
      </w:r>
      <w:r>
        <w:rPr>
          <w:sz w:val="18"/>
        </w:rPr>
        <w:t>jen</w:t>
      </w:r>
      <w:r>
        <w:rPr>
          <w:spacing w:val="-8"/>
          <w:sz w:val="18"/>
        </w:rPr>
        <w:t xml:space="preserve"> </w:t>
      </w:r>
      <w:r>
        <w:rPr>
          <w:sz w:val="18"/>
        </w:rPr>
        <w:t xml:space="preserve">elektronicky na jeho </w:t>
      </w:r>
      <w:r>
        <w:rPr>
          <w:sz w:val="18"/>
        </w:rPr>
        <w:t>e-mailovou adresu ve formě nezašifrované přílohy. Advokátní kancelář bude veškeré poskytnuté Právní služby fakturovat vždy po uplynutí kalendářního měsíce. Splatnost faktury je 14 dnů od jejího vystavení. Přílohou faktury bude přehled poskytnutých Právních</w:t>
      </w:r>
      <w:r>
        <w:rPr>
          <w:sz w:val="18"/>
        </w:rPr>
        <w:t xml:space="preserve"> služeb s časovou specifikací. Faktura bude doručena Klientovi v elektronické podobě na adresu</w:t>
      </w:r>
      <w:hyperlink r:id="rId8">
        <w:r>
          <w:rPr>
            <w:sz w:val="18"/>
          </w:rPr>
          <w:t xml:space="preserve"> fakturace@mero.cz. </w:t>
        </w:r>
      </w:hyperlink>
      <w:r>
        <w:rPr>
          <w:sz w:val="18"/>
        </w:rPr>
        <w:t>Faktura musí být Klientovi doručena nejpozději 7 dnů před datem její</w:t>
      </w:r>
      <w:r>
        <w:rPr>
          <w:spacing w:val="-14"/>
          <w:sz w:val="18"/>
        </w:rPr>
        <w:t xml:space="preserve"> </w:t>
      </w:r>
      <w:r>
        <w:rPr>
          <w:sz w:val="18"/>
        </w:rPr>
        <w:t>splatnosti.</w:t>
      </w:r>
    </w:p>
    <w:p w:rsidR="00D73D16" w:rsidRDefault="00D73D16">
      <w:pPr>
        <w:pStyle w:val="Zkladntext"/>
      </w:pPr>
    </w:p>
    <w:p w:rsidR="00D73D16" w:rsidRDefault="00D73D16">
      <w:pPr>
        <w:pStyle w:val="Zkladntext"/>
        <w:spacing w:before="4"/>
        <w:rPr>
          <w:sz w:val="13"/>
        </w:rPr>
      </w:pPr>
    </w:p>
    <w:p w:rsidR="00D73D16" w:rsidRDefault="004D7150">
      <w:pPr>
        <w:pStyle w:val="Odstavecseseznamem"/>
        <w:numPr>
          <w:ilvl w:val="1"/>
          <w:numId w:val="2"/>
        </w:numPr>
        <w:tabs>
          <w:tab w:val="left" w:pos="602"/>
        </w:tabs>
        <w:spacing w:before="0" w:line="242" w:lineRule="auto"/>
        <w:ind w:right="292"/>
        <w:jc w:val="both"/>
        <w:rPr>
          <w:sz w:val="18"/>
        </w:rPr>
      </w:pPr>
      <w:r>
        <w:rPr>
          <w:sz w:val="18"/>
        </w:rPr>
        <w:t>Na</w:t>
      </w:r>
      <w:r>
        <w:rPr>
          <w:spacing w:val="-2"/>
          <w:sz w:val="18"/>
        </w:rPr>
        <w:t xml:space="preserve"> </w:t>
      </w:r>
      <w:r>
        <w:rPr>
          <w:sz w:val="18"/>
        </w:rPr>
        <w:t>základě</w:t>
      </w:r>
      <w:r>
        <w:rPr>
          <w:spacing w:val="-2"/>
          <w:sz w:val="18"/>
        </w:rPr>
        <w:t xml:space="preserve"> </w:t>
      </w:r>
      <w:r>
        <w:rPr>
          <w:sz w:val="18"/>
        </w:rPr>
        <w:t>písemné</w:t>
      </w:r>
      <w:r>
        <w:rPr>
          <w:spacing w:val="-5"/>
          <w:sz w:val="18"/>
        </w:rPr>
        <w:t xml:space="preserve"> </w:t>
      </w:r>
      <w:r>
        <w:rPr>
          <w:sz w:val="18"/>
        </w:rPr>
        <w:t>žádosti</w:t>
      </w:r>
      <w:r>
        <w:rPr>
          <w:spacing w:val="-5"/>
          <w:sz w:val="18"/>
        </w:rPr>
        <w:t xml:space="preserve"> </w:t>
      </w:r>
      <w:r>
        <w:rPr>
          <w:sz w:val="18"/>
        </w:rPr>
        <w:t>Advokátní</w:t>
      </w:r>
      <w:r>
        <w:rPr>
          <w:spacing w:val="-4"/>
          <w:sz w:val="18"/>
        </w:rPr>
        <w:t xml:space="preserve"> </w:t>
      </w:r>
      <w:r>
        <w:rPr>
          <w:sz w:val="18"/>
        </w:rPr>
        <w:t>kanceláře</w:t>
      </w:r>
      <w:r>
        <w:rPr>
          <w:spacing w:val="-3"/>
          <w:sz w:val="18"/>
        </w:rPr>
        <w:t xml:space="preserve"> </w:t>
      </w:r>
      <w:r>
        <w:rPr>
          <w:sz w:val="18"/>
        </w:rPr>
        <w:t>poskytne</w:t>
      </w:r>
      <w:r>
        <w:rPr>
          <w:spacing w:val="-6"/>
          <w:sz w:val="18"/>
        </w:rPr>
        <w:t xml:space="preserve"> </w:t>
      </w:r>
      <w:r>
        <w:rPr>
          <w:sz w:val="18"/>
        </w:rPr>
        <w:t>Klient</w:t>
      </w:r>
      <w:r>
        <w:rPr>
          <w:spacing w:val="-2"/>
          <w:sz w:val="18"/>
        </w:rPr>
        <w:t xml:space="preserve"> </w:t>
      </w:r>
      <w:r>
        <w:rPr>
          <w:sz w:val="18"/>
        </w:rPr>
        <w:t>Advokátní</w:t>
      </w:r>
      <w:r>
        <w:rPr>
          <w:spacing w:val="-4"/>
          <w:sz w:val="18"/>
        </w:rPr>
        <w:t xml:space="preserve"> </w:t>
      </w:r>
      <w:r>
        <w:rPr>
          <w:sz w:val="18"/>
        </w:rPr>
        <w:t>kanceláři,</w:t>
      </w:r>
      <w:r>
        <w:rPr>
          <w:spacing w:val="-4"/>
          <w:sz w:val="18"/>
        </w:rPr>
        <w:t xml:space="preserve"> </w:t>
      </w:r>
      <w:r>
        <w:rPr>
          <w:sz w:val="18"/>
        </w:rPr>
        <w:t>(i</w:t>
      </w:r>
      <w:r>
        <w:rPr>
          <w:spacing w:val="1"/>
          <w:sz w:val="18"/>
        </w:rPr>
        <w:t xml:space="preserve"> </w:t>
      </w:r>
      <w:r>
        <w:rPr>
          <w:sz w:val="18"/>
        </w:rPr>
        <w:t>opakovaně),</w:t>
      </w:r>
      <w:r>
        <w:rPr>
          <w:spacing w:val="-3"/>
          <w:sz w:val="18"/>
        </w:rPr>
        <w:t xml:space="preserve"> </w:t>
      </w:r>
      <w:r>
        <w:rPr>
          <w:sz w:val="18"/>
        </w:rPr>
        <w:t>zálohu</w:t>
      </w:r>
      <w:r>
        <w:rPr>
          <w:spacing w:val="-6"/>
          <w:sz w:val="18"/>
        </w:rPr>
        <w:t xml:space="preserve"> </w:t>
      </w:r>
      <w:r>
        <w:rPr>
          <w:sz w:val="18"/>
        </w:rPr>
        <w:t>na</w:t>
      </w:r>
      <w:r>
        <w:rPr>
          <w:spacing w:val="-4"/>
          <w:sz w:val="18"/>
        </w:rPr>
        <w:t xml:space="preserve"> </w:t>
      </w:r>
      <w:r>
        <w:rPr>
          <w:sz w:val="18"/>
        </w:rPr>
        <w:t>odměnu,</w:t>
      </w:r>
      <w:r>
        <w:rPr>
          <w:spacing w:val="-3"/>
          <w:sz w:val="18"/>
        </w:rPr>
        <w:t xml:space="preserve"> </w:t>
      </w:r>
      <w:r>
        <w:rPr>
          <w:sz w:val="18"/>
        </w:rPr>
        <w:t>a to až do výše 50 % předpokládané celkové výše odměny, či zálohu na náhradu hotových výdajů až do výše předpokládané hodnoty jednotlivého hotového vý</w:t>
      </w:r>
      <w:r>
        <w:rPr>
          <w:sz w:val="18"/>
        </w:rPr>
        <w:t>daje; povinnost poskytovat Právní služby, příp. vynaložit jednotlivý hotový výdaj vzniká v případě placení zálohy, při respektování povinností stanovených pravidly profesionální etiky advokátů, až složením příslušné zálohy. Klient bere, kromě odhadu očekáv</w:t>
      </w:r>
      <w:r>
        <w:rPr>
          <w:sz w:val="18"/>
        </w:rPr>
        <w:t>aných úkonů Právních služeb, na vědomí, že nelze zcela vyloučit, že celkové náklady spojené s poskytováním Právních služeb (včetně odměny) mohou dosáhnout, případně i převýšit peněžní hodnotu</w:t>
      </w:r>
      <w:r>
        <w:rPr>
          <w:spacing w:val="15"/>
          <w:sz w:val="18"/>
        </w:rPr>
        <w:t xml:space="preserve"> </w:t>
      </w:r>
      <w:r>
        <w:rPr>
          <w:sz w:val="18"/>
        </w:rPr>
        <w:t>právní</w:t>
      </w:r>
      <w:r>
        <w:rPr>
          <w:spacing w:val="14"/>
          <w:sz w:val="18"/>
        </w:rPr>
        <w:t xml:space="preserve"> </w:t>
      </w:r>
      <w:r>
        <w:rPr>
          <w:sz w:val="18"/>
        </w:rPr>
        <w:t>věci,</w:t>
      </w:r>
      <w:r>
        <w:rPr>
          <w:spacing w:val="16"/>
          <w:sz w:val="18"/>
        </w:rPr>
        <w:t xml:space="preserve"> </w:t>
      </w:r>
      <w:r>
        <w:rPr>
          <w:sz w:val="18"/>
        </w:rPr>
        <w:t>jež</w:t>
      </w:r>
      <w:r>
        <w:rPr>
          <w:spacing w:val="15"/>
          <w:sz w:val="18"/>
        </w:rPr>
        <w:t xml:space="preserve"> </w:t>
      </w:r>
      <w:r>
        <w:rPr>
          <w:sz w:val="18"/>
        </w:rPr>
        <w:t>je</w:t>
      </w:r>
      <w:r>
        <w:rPr>
          <w:spacing w:val="16"/>
          <w:sz w:val="18"/>
        </w:rPr>
        <w:t xml:space="preserve"> </w:t>
      </w:r>
      <w:r>
        <w:rPr>
          <w:sz w:val="18"/>
        </w:rPr>
        <w:t>předmětem</w:t>
      </w:r>
      <w:r>
        <w:rPr>
          <w:spacing w:val="15"/>
          <w:sz w:val="18"/>
        </w:rPr>
        <w:t xml:space="preserve"> </w:t>
      </w:r>
      <w:r>
        <w:rPr>
          <w:sz w:val="18"/>
        </w:rPr>
        <w:t>poskytování</w:t>
      </w:r>
      <w:r>
        <w:rPr>
          <w:spacing w:val="15"/>
          <w:sz w:val="18"/>
        </w:rPr>
        <w:t xml:space="preserve"> </w:t>
      </w:r>
      <w:r>
        <w:rPr>
          <w:sz w:val="18"/>
        </w:rPr>
        <w:t>Právních</w:t>
      </w:r>
      <w:r>
        <w:rPr>
          <w:spacing w:val="16"/>
          <w:sz w:val="18"/>
        </w:rPr>
        <w:t xml:space="preserve"> </w:t>
      </w:r>
      <w:r>
        <w:rPr>
          <w:sz w:val="18"/>
        </w:rPr>
        <w:t>služeb,</w:t>
      </w:r>
      <w:r>
        <w:rPr>
          <w:spacing w:val="16"/>
          <w:sz w:val="18"/>
        </w:rPr>
        <w:t xml:space="preserve"> </w:t>
      </w:r>
      <w:r>
        <w:rPr>
          <w:sz w:val="18"/>
        </w:rPr>
        <w:t>jakož</w:t>
      </w:r>
      <w:r>
        <w:rPr>
          <w:spacing w:val="1"/>
          <w:sz w:val="18"/>
        </w:rPr>
        <w:t xml:space="preserve"> </w:t>
      </w:r>
      <w:r>
        <w:rPr>
          <w:sz w:val="18"/>
        </w:rPr>
        <w:t>i</w:t>
      </w:r>
      <w:r>
        <w:rPr>
          <w:spacing w:val="-3"/>
          <w:sz w:val="18"/>
        </w:rPr>
        <w:t xml:space="preserve"> </w:t>
      </w:r>
      <w:r>
        <w:rPr>
          <w:sz w:val="18"/>
        </w:rPr>
        <w:t>to,</w:t>
      </w:r>
      <w:r>
        <w:rPr>
          <w:spacing w:val="16"/>
          <w:sz w:val="18"/>
        </w:rPr>
        <w:t xml:space="preserve"> </w:t>
      </w:r>
      <w:r>
        <w:rPr>
          <w:sz w:val="18"/>
        </w:rPr>
        <w:t>že</w:t>
      </w:r>
      <w:r>
        <w:rPr>
          <w:spacing w:val="13"/>
          <w:sz w:val="18"/>
        </w:rPr>
        <w:t xml:space="preserve"> </w:t>
      </w:r>
      <w:r>
        <w:rPr>
          <w:sz w:val="18"/>
        </w:rPr>
        <w:t>při</w:t>
      </w:r>
      <w:r>
        <w:rPr>
          <w:spacing w:val="14"/>
          <w:sz w:val="18"/>
        </w:rPr>
        <w:t xml:space="preserve"> </w:t>
      </w:r>
      <w:r>
        <w:rPr>
          <w:sz w:val="18"/>
        </w:rPr>
        <w:t>stanovení</w:t>
      </w:r>
      <w:r>
        <w:rPr>
          <w:spacing w:val="16"/>
          <w:sz w:val="18"/>
        </w:rPr>
        <w:t xml:space="preserve"> </w:t>
      </w:r>
      <w:r>
        <w:rPr>
          <w:sz w:val="18"/>
        </w:rPr>
        <w:t>náhrady</w:t>
      </w:r>
      <w:r>
        <w:rPr>
          <w:spacing w:val="17"/>
          <w:sz w:val="18"/>
        </w:rPr>
        <w:t xml:space="preserve"> </w:t>
      </w:r>
      <w:r>
        <w:rPr>
          <w:sz w:val="18"/>
        </w:rPr>
        <w:t>nákladů</w:t>
      </w:r>
      <w:r>
        <w:rPr>
          <w:spacing w:val="14"/>
          <w:sz w:val="18"/>
        </w:rPr>
        <w:t xml:space="preserve"> </w:t>
      </w:r>
      <w:r>
        <w:rPr>
          <w:sz w:val="18"/>
        </w:rPr>
        <w:t>řízení</w:t>
      </w:r>
    </w:p>
    <w:p w:rsidR="00D73D16" w:rsidRDefault="00D73D16">
      <w:pPr>
        <w:spacing w:line="242" w:lineRule="auto"/>
        <w:jc w:val="both"/>
        <w:rPr>
          <w:sz w:val="18"/>
        </w:rPr>
        <w:sectPr w:rsidR="00D73D16">
          <w:headerReference w:type="default" r:id="rId9"/>
          <w:footerReference w:type="default" r:id="rId10"/>
          <w:type w:val="continuous"/>
          <w:pgSz w:w="11910" w:h="16840"/>
          <w:pgMar w:top="1660" w:right="840" w:bottom="920" w:left="1300" w:header="746" w:footer="734" w:gutter="0"/>
          <w:pgNumType w:start="1"/>
          <w:cols w:space="708"/>
        </w:sectPr>
      </w:pPr>
    </w:p>
    <w:p w:rsidR="00D73D16" w:rsidRDefault="00D73D16">
      <w:pPr>
        <w:pStyle w:val="Zkladntext"/>
        <w:rPr>
          <w:sz w:val="20"/>
        </w:rPr>
      </w:pPr>
    </w:p>
    <w:p w:rsidR="00D73D16" w:rsidRDefault="00D73D16">
      <w:pPr>
        <w:pStyle w:val="Zkladntext"/>
        <w:spacing w:before="5"/>
        <w:rPr>
          <w:sz w:val="23"/>
        </w:rPr>
      </w:pPr>
    </w:p>
    <w:p w:rsidR="00D73D16" w:rsidRDefault="004D7150">
      <w:pPr>
        <w:pStyle w:val="Zkladntext"/>
        <w:spacing w:before="63"/>
        <w:ind w:left="601" w:right="411"/>
      </w:pPr>
      <w:proofErr w:type="gramStart"/>
      <w:r>
        <w:t>přiznávané  případně</w:t>
      </w:r>
      <w:proofErr w:type="gramEnd"/>
      <w:r>
        <w:t xml:space="preserve">  Klientovi  rozhodnutím  soudu  nebo  jiného  orgánu  se  výše  odměny  Advokátní  kanceláře,   resp. advokáta určuje zásadně podle ustanovení Advokátního tarifu o mimosmluvní</w:t>
      </w:r>
      <w:r>
        <w:rPr>
          <w:spacing w:val="-5"/>
        </w:rPr>
        <w:t xml:space="preserve"> </w:t>
      </w:r>
      <w:r>
        <w:t>odměně.</w:t>
      </w:r>
    </w:p>
    <w:p w:rsidR="00D73D16" w:rsidRDefault="004D7150">
      <w:pPr>
        <w:pStyle w:val="Odstavecseseznamem"/>
        <w:numPr>
          <w:ilvl w:val="1"/>
          <w:numId w:val="2"/>
        </w:numPr>
        <w:tabs>
          <w:tab w:val="left" w:pos="602"/>
        </w:tabs>
        <w:spacing w:before="87"/>
        <w:rPr>
          <w:sz w:val="18"/>
        </w:rPr>
      </w:pPr>
      <w:r>
        <w:rPr>
          <w:sz w:val="18"/>
        </w:rPr>
        <w:t>Ve smyslu advokátního tarifu</w:t>
      </w:r>
      <w:r>
        <w:rPr>
          <w:rFonts w:ascii="Times New Roman" w:hAnsi="Times New Roman"/>
          <w:position w:val="6"/>
          <w:sz w:val="10"/>
        </w:rPr>
        <w:t>1</w:t>
      </w:r>
      <w:r>
        <w:rPr>
          <w:sz w:val="18"/>
        </w:rPr>
        <w:t>, náleží Advokátní kan</w:t>
      </w:r>
      <w:r>
        <w:rPr>
          <w:sz w:val="18"/>
        </w:rPr>
        <w:t>celáři mimo smluvní odměny</w:t>
      </w:r>
      <w:r>
        <w:rPr>
          <w:spacing w:val="-21"/>
          <w:sz w:val="18"/>
        </w:rPr>
        <w:t xml:space="preserve"> </w:t>
      </w:r>
      <w:r>
        <w:rPr>
          <w:sz w:val="18"/>
        </w:rPr>
        <w:t>též:</w:t>
      </w:r>
    </w:p>
    <w:p w:rsidR="00D73D16" w:rsidRDefault="004D7150">
      <w:pPr>
        <w:pStyle w:val="Odstavecseseznamem"/>
        <w:numPr>
          <w:ilvl w:val="2"/>
          <w:numId w:val="2"/>
        </w:numPr>
        <w:tabs>
          <w:tab w:val="left" w:pos="827"/>
        </w:tabs>
        <w:spacing w:before="80"/>
        <w:ind w:right="288" w:hanging="280"/>
        <w:jc w:val="both"/>
        <w:rPr>
          <w:sz w:val="18"/>
        </w:rPr>
      </w:pPr>
      <w:r>
        <w:rPr>
          <w:sz w:val="18"/>
        </w:rPr>
        <w:t>náhrada hotových výdajů vynaložených v souvislosti Právními službami, náhrada za použití motorového vozidla, vč. náhrady</w:t>
      </w:r>
      <w:r>
        <w:rPr>
          <w:spacing w:val="-7"/>
          <w:sz w:val="18"/>
        </w:rPr>
        <w:t xml:space="preserve"> </w:t>
      </w:r>
      <w:r>
        <w:rPr>
          <w:sz w:val="18"/>
        </w:rPr>
        <w:t>za</w:t>
      </w:r>
      <w:r>
        <w:rPr>
          <w:spacing w:val="-1"/>
          <w:sz w:val="18"/>
        </w:rPr>
        <w:t xml:space="preserve"> </w:t>
      </w:r>
      <w:r>
        <w:rPr>
          <w:sz w:val="18"/>
        </w:rPr>
        <w:t>spotřebované</w:t>
      </w:r>
      <w:r>
        <w:rPr>
          <w:spacing w:val="-5"/>
          <w:sz w:val="18"/>
        </w:rPr>
        <w:t xml:space="preserve"> </w:t>
      </w:r>
      <w:r>
        <w:rPr>
          <w:sz w:val="18"/>
        </w:rPr>
        <w:t>pohonné</w:t>
      </w:r>
      <w:r>
        <w:rPr>
          <w:spacing w:val="-7"/>
          <w:sz w:val="18"/>
        </w:rPr>
        <w:t xml:space="preserve"> </w:t>
      </w:r>
      <w:r>
        <w:rPr>
          <w:sz w:val="18"/>
        </w:rPr>
        <w:t>hmoty,</w:t>
      </w:r>
      <w:r>
        <w:rPr>
          <w:spacing w:val="-6"/>
          <w:sz w:val="18"/>
        </w:rPr>
        <w:t xml:space="preserve"> </w:t>
      </w:r>
      <w:r>
        <w:rPr>
          <w:sz w:val="18"/>
        </w:rPr>
        <w:t>činí</w:t>
      </w:r>
      <w:r>
        <w:rPr>
          <w:spacing w:val="-7"/>
          <w:sz w:val="18"/>
        </w:rPr>
        <w:t xml:space="preserve"> </w:t>
      </w:r>
      <w:r>
        <w:rPr>
          <w:sz w:val="18"/>
        </w:rPr>
        <w:t>10,-</w:t>
      </w:r>
      <w:r>
        <w:rPr>
          <w:spacing w:val="-6"/>
          <w:sz w:val="18"/>
        </w:rPr>
        <w:t xml:space="preserve"> </w:t>
      </w:r>
      <w:r>
        <w:rPr>
          <w:sz w:val="18"/>
        </w:rPr>
        <w:t>Kč</w:t>
      </w:r>
      <w:r>
        <w:rPr>
          <w:spacing w:val="-6"/>
          <w:sz w:val="18"/>
        </w:rPr>
        <w:t xml:space="preserve"> </w:t>
      </w:r>
      <w:r>
        <w:rPr>
          <w:sz w:val="18"/>
        </w:rPr>
        <w:t>za</w:t>
      </w:r>
      <w:r>
        <w:rPr>
          <w:spacing w:val="-1"/>
          <w:sz w:val="18"/>
        </w:rPr>
        <w:t xml:space="preserve"> </w:t>
      </w:r>
      <w:r>
        <w:rPr>
          <w:sz w:val="18"/>
        </w:rPr>
        <w:t>1</w:t>
      </w:r>
      <w:r>
        <w:rPr>
          <w:spacing w:val="-6"/>
          <w:sz w:val="18"/>
        </w:rPr>
        <w:t xml:space="preserve"> </w:t>
      </w:r>
      <w:r>
        <w:rPr>
          <w:sz w:val="18"/>
        </w:rPr>
        <w:t>km;</w:t>
      </w:r>
      <w:r>
        <w:rPr>
          <w:spacing w:val="-6"/>
          <w:sz w:val="18"/>
        </w:rPr>
        <w:t xml:space="preserve"> </w:t>
      </w:r>
      <w:r>
        <w:rPr>
          <w:sz w:val="18"/>
        </w:rPr>
        <w:t>Advokátní</w:t>
      </w:r>
      <w:r>
        <w:rPr>
          <w:spacing w:val="-7"/>
          <w:sz w:val="18"/>
        </w:rPr>
        <w:t xml:space="preserve"> </w:t>
      </w:r>
      <w:r>
        <w:rPr>
          <w:sz w:val="18"/>
        </w:rPr>
        <w:t>kancelář</w:t>
      </w:r>
      <w:r>
        <w:rPr>
          <w:spacing w:val="-6"/>
          <w:sz w:val="18"/>
        </w:rPr>
        <w:t xml:space="preserve"> </w:t>
      </w:r>
      <w:r>
        <w:rPr>
          <w:sz w:val="18"/>
        </w:rPr>
        <w:t>je</w:t>
      </w:r>
      <w:r>
        <w:rPr>
          <w:spacing w:val="-7"/>
          <w:sz w:val="18"/>
        </w:rPr>
        <w:t xml:space="preserve"> </w:t>
      </w:r>
      <w:r>
        <w:rPr>
          <w:sz w:val="18"/>
        </w:rPr>
        <w:t>oprávněna</w:t>
      </w:r>
      <w:r>
        <w:rPr>
          <w:spacing w:val="-6"/>
          <w:sz w:val="18"/>
        </w:rPr>
        <w:t xml:space="preserve"> </w:t>
      </w:r>
      <w:r>
        <w:rPr>
          <w:sz w:val="18"/>
        </w:rPr>
        <w:t>k</w:t>
      </w:r>
      <w:r>
        <w:rPr>
          <w:spacing w:val="-1"/>
          <w:sz w:val="18"/>
        </w:rPr>
        <w:t xml:space="preserve"> </w:t>
      </w:r>
      <w:r>
        <w:rPr>
          <w:sz w:val="18"/>
        </w:rPr>
        <w:t>vynaložení</w:t>
      </w:r>
      <w:r>
        <w:rPr>
          <w:spacing w:val="-7"/>
          <w:sz w:val="18"/>
        </w:rPr>
        <w:t xml:space="preserve"> </w:t>
      </w:r>
      <w:r>
        <w:rPr>
          <w:sz w:val="18"/>
        </w:rPr>
        <w:t>hotového výdaje bez předchozího souhlasu</w:t>
      </w:r>
      <w:r>
        <w:rPr>
          <w:spacing w:val="-1"/>
          <w:sz w:val="18"/>
        </w:rPr>
        <w:t xml:space="preserve"> </w:t>
      </w:r>
      <w:r>
        <w:rPr>
          <w:sz w:val="18"/>
        </w:rPr>
        <w:t>Klienta;</w:t>
      </w:r>
    </w:p>
    <w:p w:rsidR="00D73D16" w:rsidRDefault="004D7150">
      <w:pPr>
        <w:pStyle w:val="Odstavecseseznamem"/>
        <w:numPr>
          <w:ilvl w:val="2"/>
          <w:numId w:val="2"/>
        </w:numPr>
        <w:tabs>
          <w:tab w:val="left" w:pos="827"/>
        </w:tabs>
        <w:spacing w:before="87" w:line="219" w:lineRule="exact"/>
        <w:ind w:hanging="280"/>
        <w:rPr>
          <w:sz w:val="18"/>
        </w:rPr>
      </w:pPr>
      <w:r>
        <w:rPr>
          <w:sz w:val="18"/>
        </w:rPr>
        <w:t>náhrada za čas promeškaný v souvislosti s poskytováním Právních služeb, výše této náhrady činí 500,- Kč za 1</w:t>
      </w:r>
      <w:r>
        <w:rPr>
          <w:spacing w:val="-18"/>
          <w:sz w:val="18"/>
        </w:rPr>
        <w:t xml:space="preserve"> </w:t>
      </w:r>
      <w:r>
        <w:rPr>
          <w:sz w:val="18"/>
        </w:rPr>
        <w:t>hodinu.</w:t>
      </w:r>
    </w:p>
    <w:p w:rsidR="00D73D16" w:rsidRDefault="004D7150">
      <w:pPr>
        <w:pStyle w:val="Nadpis1"/>
        <w:spacing w:line="219" w:lineRule="exact"/>
      </w:pPr>
      <w:r>
        <w:t>2.</w:t>
      </w:r>
    </w:p>
    <w:p w:rsidR="00D73D16" w:rsidRDefault="004D7150">
      <w:pPr>
        <w:pStyle w:val="Zkladntext"/>
        <w:spacing w:before="85" w:line="242" w:lineRule="auto"/>
        <w:ind w:left="601" w:right="288" w:hanging="425"/>
        <w:jc w:val="both"/>
      </w:pPr>
      <w:r>
        <w:t>2.1   Advokátní kancelář je společností s ručením omezeným, ve smyslu § 15 zákona o ad</w:t>
      </w:r>
      <w:r>
        <w:t>vokacii.</w:t>
      </w:r>
      <w:proofErr w:type="gramStart"/>
      <w:r>
        <w:rPr>
          <w:rFonts w:ascii="Times New Roman" w:hAnsi="Times New Roman"/>
          <w:position w:val="6"/>
          <w:sz w:val="10"/>
        </w:rPr>
        <w:t xml:space="preserve">2  </w:t>
      </w:r>
      <w:r>
        <w:t>Poskytování</w:t>
      </w:r>
      <w:proofErr w:type="gramEnd"/>
      <w:r>
        <w:t xml:space="preserve"> Právních služeb je realizováno společníky Advokátní kanceláře a jejími zaměstnanými advokáty; tyto osoby při tom jednají jménem Advokátní kanceláře a na její účet, s výjimkou případů, kdy to platné právní předpisy vylučují a kdy tyto</w:t>
      </w:r>
      <w:r>
        <w:t xml:space="preserve"> osoby jednají vlastním jménem a na účet Advokátní kanceláře. Advokátní kancelář, případně kterýkoliv její společník, se při poskytování Právních služeb může podle § 26 Zákona o advokacii dát zastoupit jiným advokátem, advokátním koncipientem či jiným zamě</w:t>
      </w:r>
      <w:r>
        <w:t>stnancem.</w:t>
      </w:r>
    </w:p>
    <w:p w:rsidR="00D73D16" w:rsidRDefault="004D7150">
      <w:pPr>
        <w:pStyle w:val="Nadpis1"/>
        <w:spacing w:line="216" w:lineRule="exact"/>
      </w:pPr>
      <w:r>
        <w:t>3.</w:t>
      </w:r>
    </w:p>
    <w:p w:rsidR="00D73D16" w:rsidRDefault="004D7150">
      <w:pPr>
        <w:pStyle w:val="Zkladntext"/>
        <w:spacing w:before="82" w:line="242" w:lineRule="auto"/>
        <w:ind w:left="601" w:right="288" w:hanging="425"/>
        <w:jc w:val="both"/>
      </w:pPr>
      <w:r>
        <w:t xml:space="preserve">3.1 Právní služby poskytnuté Advokátní kanceláří dle této Smlouvy jsou určeny výhradně pro účely a případy, pro které byly poskytnuty, a slouží výhradně pro potřeby Klienta. Klient se zavazuje, že neposkytne třetí osobě bez souhlasu Advokátní </w:t>
      </w:r>
      <w:r>
        <w:t xml:space="preserve">kanceláře výsledky Právních služeb, zejména jako vzory právních dokumentů nebo řešení situací, které byly předmětem </w:t>
      </w:r>
      <w:proofErr w:type="gramStart"/>
      <w:r>
        <w:t>poskytování  Právních</w:t>
      </w:r>
      <w:proofErr w:type="gramEnd"/>
      <w:r>
        <w:t xml:space="preserve">  služeb.  </w:t>
      </w:r>
      <w:proofErr w:type="gramStart"/>
      <w:r>
        <w:t>Uvedení  stanoviska</w:t>
      </w:r>
      <w:proofErr w:type="gramEnd"/>
      <w:r>
        <w:t xml:space="preserve">  Advokátní  kanceláře,  nebo  odvolání   se   na   takovéto  stanovisko  v</w:t>
      </w:r>
      <w:r>
        <w:rPr>
          <w:spacing w:val="-2"/>
        </w:rPr>
        <w:t xml:space="preserve"> </w:t>
      </w:r>
      <w:r>
        <w:t>jakémkoli</w:t>
      </w:r>
      <w:r>
        <w:rPr>
          <w:spacing w:val="-5"/>
        </w:rPr>
        <w:t xml:space="preserve"> </w:t>
      </w:r>
      <w:r>
        <w:t>pís</w:t>
      </w:r>
      <w:r>
        <w:t>emném</w:t>
      </w:r>
      <w:r>
        <w:rPr>
          <w:spacing w:val="-2"/>
        </w:rPr>
        <w:t xml:space="preserve"> </w:t>
      </w:r>
      <w:r>
        <w:t>dokumentu</w:t>
      </w:r>
      <w:r>
        <w:rPr>
          <w:spacing w:val="-5"/>
        </w:rPr>
        <w:t xml:space="preserve"> </w:t>
      </w:r>
      <w:r>
        <w:t>Klienta</w:t>
      </w:r>
      <w:r>
        <w:rPr>
          <w:spacing w:val="-3"/>
        </w:rPr>
        <w:t xml:space="preserve"> </w:t>
      </w:r>
      <w:r>
        <w:t>je</w:t>
      </w:r>
      <w:r>
        <w:rPr>
          <w:spacing w:val="-6"/>
        </w:rPr>
        <w:t xml:space="preserve"> </w:t>
      </w:r>
      <w:r>
        <w:t>Klient</w:t>
      </w:r>
      <w:r>
        <w:rPr>
          <w:spacing w:val="-3"/>
        </w:rPr>
        <w:t xml:space="preserve"> </w:t>
      </w:r>
      <w:r>
        <w:t>oprávněn</w:t>
      </w:r>
      <w:r>
        <w:rPr>
          <w:spacing w:val="-2"/>
        </w:rPr>
        <w:t xml:space="preserve"> </w:t>
      </w:r>
      <w:r>
        <w:t>učinit</w:t>
      </w:r>
      <w:r>
        <w:rPr>
          <w:spacing w:val="-5"/>
        </w:rPr>
        <w:t xml:space="preserve"> </w:t>
      </w:r>
      <w:r>
        <w:t>pouze</w:t>
      </w:r>
      <w:r>
        <w:rPr>
          <w:spacing w:val="-6"/>
        </w:rPr>
        <w:t xml:space="preserve"> </w:t>
      </w:r>
      <w:r>
        <w:t>v</w:t>
      </w:r>
      <w:r>
        <w:rPr>
          <w:spacing w:val="2"/>
        </w:rPr>
        <w:t xml:space="preserve"> </w:t>
      </w:r>
      <w:r>
        <w:t>případě,</w:t>
      </w:r>
      <w:r>
        <w:rPr>
          <w:spacing w:val="-3"/>
        </w:rPr>
        <w:t xml:space="preserve"> </w:t>
      </w:r>
      <w:r>
        <w:t>že</w:t>
      </w:r>
      <w:r>
        <w:rPr>
          <w:spacing w:val="-3"/>
        </w:rPr>
        <w:t xml:space="preserve"> </w:t>
      </w:r>
      <w:r>
        <w:t>takovéto</w:t>
      </w:r>
      <w:r>
        <w:rPr>
          <w:spacing w:val="-4"/>
        </w:rPr>
        <w:t xml:space="preserve"> </w:t>
      </w:r>
      <w:r>
        <w:t>stanovisko</w:t>
      </w:r>
      <w:r>
        <w:rPr>
          <w:spacing w:val="-4"/>
        </w:rPr>
        <w:t xml:space="preserve"> </w:t>
      </w:r>
      <w:r>
        <w:t>bylo</w:t>
      </w:r>
      <w:r>
        <w:rPr>
          <w:spacing w:val="-3"/>
        </w:rPr>
        <w:t xml:space="preserve"> </w:t>
      </w:r>
      <w:r>
        <w:t>Klientovi Advokátní kanceláří poskytnuto písemně. Advokátní kancelář nenese žádnou odpovědnost za případné použití takových dokumentů třetími</w:t>
      </w:r>
      <w:r>
        <w:rPr>
          <w:spacing w:val="-2"/>
        </w:rPr>
        <w:t xml:space="preserve"> </w:t>
      </w:r>
      <w:r>
        <w:t>stranami.</w:t>
      </w:r>
    </w:p>
    <w:p w:rsidR="00D73D16" w:rsidRDefault="004D7150">
      <w:pPr>
        <w:pStyle w:val="Nadpis1"/>
        <w:spacing w:line="217" w:lineRule="exact"/>
      </w:pPr>
      <w:r>
        <w:t>4.</w:t>
      </w:r>
    </w:p>
    <w:p w:rsidR="00D73D16" w:rsidRDefault="004D7150">
      <w:pPr>
        <w:pStyle w:val="Zkladntext"/>
        <w:spacing w:before="82"/>
        <w:ind w:left="601" w:right="291" w:hanging="425"/>
        <w:jc w:val="both"/>
      </w:pPr>
      <w:r>
        <w:t>4.1 Ve</w:t>
      </w:r>
      <w:r>
        <w:t xml:space="preserve"> smyslu ustanovení § 20 odst. 4 Zákona o advokacii je Klient oprávněn Smlouvu vypovědět kdykoliv, a to i bez udání důvodu.</w:t>
      </w:r>
    </w:p>
    <w:p w:rsidR="00D73D16" w:rsidRDefault="00D73D16">
      <w:pPr>
        <w:pStyle w:val="Zkladntext"/>
        <w:spacing w:before="4"/>
      </w:pPr>
    </w:p>
    <w:p w:rsidR="00D73D16" w:rsidRDefault="004D7150">
      <w:pPr>
        <w:pStyle w:val="Nadpis1"/>
      </w:pPr>
      <w:r>
        <w:t>5.</w:t>
      </w:r>
    </w:p>
    <w:p w:rsidR="00D73D16" w:rsidRDefault="004D7150">
      <w:pPr>
        <w:pStyle w:val="Odstavecseseznamem"/>
        <w:numPr>
          <w:ilvl w:val="1"/>
          <w:numId w:val="1"/>
        </w:numPr>
        <w:tabs>
          <w:tab w:val="left" w:pos="602"/>
        </w:tabs>
        <w:ind w:right="290"/>
        <w:jc w:val="both"/>
        <w:rPr>
          <w:sz w:val="18"/>
        </w:rPr>
      </w:pPr>
      <w:r>
        <w:rPr>
          <w:sz w:val="18"/>
        </w:rPr>
        <w:t xml:space="preserve">V neupravených otázkách se vztah mezi Klientem a Advokátní kanceláří řídí zákonem č. 89/2012 Sb., občanským </w:t>
      </w:r>
      <w:proofErr w:type="gramStart"/>
      <w:r>
        <w:rPr>
          <w:sz w:val="18"/>
        </w:rPr>
        <w:t>zákoníkem,  ve</w:t>
      </w:r>
      <w:proofErr w:type="gramEnd"/>
      <w:r>
        <w:rPr>
          <w:sz w:val="18"/>
        </w:rPr>
        <w:t xml:space="preserve">  znění  pozdějších  předpisů  (dále  jen  „občanský  zákoník“),  přičemž  změny  je  možné  činit  v souladu   s ustanovením § 564 ob</w:t>
      </w:r>
      <w:r>
        <w:rPr>
          <w:sz w:val="18"/>
        </w:rPr>
        <w:t>čanského zákoníku pouze písemnou</w:t>
      </w:r>
      <w:r>
        <w:rPr>
          <w:spacing w:val="-5"/>
          <w:sz w:val="18"/>
        </w:rPr>
        <w:t xml:space="preserve"> </w:t>
      </w:r>
      <w:r>
        <w:rPr>
          <w:sz w:val="18"/>
        </w:rPr>
        <w:t>formou.</w:t>
      </w:r>
    </w:p>
    <w:p w:rsidR="00D73D16" w:rsidRDefault="004D7150">
      <w:pPr>
        <w:pStyle w:val="Odstavecseseznamem"/>
        <w:numPr>
          <w:ilvl w:val="1"/>
          <w:numId w:val="1"/>
        </w:numPr>
        <w:tabs>
          <w:tab w:val="left" w:pos="602"/>
        </w:tabs>
        <w:ind w:right="290"/>
        <w:jc w:val="both"/>
        <w:rPr>
          <w:sz w:val="18"/>
        </w:rPr>
      </w:pPr>
      <w:r>
        <w:rPr>
          <w:sz w:val="18"/>
        </w:rPr>
        <w:t xml:space="preserve">Advokátní kancelář se zavazuje dodržovat pravidla závazná pro dodavatele obsažená v etickém kodexu Klienta. Advokátní kancelář podpisem této smlouvy stvrzuje, že se s etickým kodexem Klienta, zejména s ustanoveními </w:t>
      </w:r>
      <w:r>
        <w:rPr>
          <w:sz w:val="18"/>
        </w:rPr>
        <w:t>zavazujícími dodavatele a možnostmi dodavatele, jak oznámit případné neetické či protiprávní jednání zástupců Klienta, řádně seznámila. Etický kodex je dostupný na webových stránkách</w:t>
      </w:r>
      <w:r>
        <w:rPr>
          <w:spacing w:val="-15"/>
          <w:sz w:val="18"/>
        </w:rPr>
        <w:t xml:space="preserve"> </w:t>
      </w:r>
      <w:hyperlink r:id="rId11">
        <w:r>
          <w:rPr>
            <w:sz w:val="18"/>
          </w:rPr>
          <w:t>http://www.mero.cz/o-spolecnosti/eticky-kodex/.</w:t>
        </w:r>
      </w:hyperlink>
    </w:p>
    <w:p w:rsidR="00D73D16" w:rsidRDefault="00D73D16">
      <w:pPr>
        <w:pStyle w:val="Zkladntext"/>
        <w:spacing w:before="1"/>
        <w:rPr>
          <w:sz w:val="25"/>
        </w:rPr>
      </w:pPr>
    </w:p>
    <w:p w:rsidR="00D73D16" w:rsidRDefault="004D7150">
      <w:pPr>
        <w:pStyle w:val="Nadpis1"/>
      </w:pPr>
      <w:r>
        <w:t>6.</w:t>
      </w:r>
    </w:p>
    <w:p w:rsidR="00D73D16" w:rsidRDefault="004D7150">
      <w:pPr>
        <w:pStyle w:val="Zkladntext"/>
        <w:spacing w:before="83"/>
        <w:ind w:left="601" w:right="291" w:hanging="425"/>
        <w:jc w:val="both"/>
      </w:pPr>
      <w:r>
        <w:pict>
          <v:group id="_x0000_s1031" style="position:absolute;left:0;text-align:left;margin-left:140.55pt;margin-top:72.9pt;width:152.2pt;height:55.6pt;z-index:-251661312;mso-position-horizontal-relative:page" coordorigin="2811,1458" coordsize="3044,1112">
            <v:line id="_x0000_s1034" style="position:absolute" from="2811,2564" to="5855,2564" strokeweight=".20617mm"/>
            <v:shape id="_x0000_s1033" style="position:absolute;left:3811;top:1457;width:1039;height:1031" coordorigin="3812,1458" coordsize="1039,1031" o:spt="100" adj="0,,0" path="m3999,2271r-90,58l3851,2386r-30,49l3812,2471r6,14l3824,2488r70,l3897,2486r-65,l3841,2448r34,-54l3929,2332r70,-61xm4256,1458r-21,14l4224,1504r-4,36l4220,1566r1,23l4223,1614r3,27l4230,1668r6,28l4242,1725r6,28l4256,1782r-7,30l4231,1865r-28,71l4166,2019r-43,91l4075,2202r-50,87l3974,2367r-51,63l3875,2471r-43,15l3897,2486r35,-25l3981,2408r56,-76l4100,2228r10,-3l4100,2225r63,-112l4208,2021r32,-73l4261,1889r14,-49l4312,1840r-23,-61l4296,1725r-21,l4263,1679r-9,-45l4250,1592r-2,-38l4249,1538r2,-27l4258,1483r13,-19l4296,1464r-13,-5l4256,1458xm4839,2223r-29,l4798,2234r,28l4810,2273r29,l4845,2267r-32,l4803,2259r,-22l4813,2228r32,l4839,2223xm4845,2228r-9,l4844,2237r,22l4836,2267r9,l4850,2262r,-28l4845,2228xm4831,2232r-17,l4814,2262r5,l4819,2251r14,l4832,2249r-3,-1l4835,2246r-16,l4819,2238r15,l4834,2236r-3,-4xm4833,2251r-7,l4828,2254r1,3l4830,2262r5,l4834,2257r,-4l4833,2251xm4834,2238r-7,l4829,2239r,6l4826,2246r9,l4835,2242r-1,-4xm4312,1840r-37,l4320,1935r47,71l4414,2056r42,34l4491,2112r-75,15l4337,2145r-79,23l4178,2194r-78,31l4110,2225r55,-17l4235,2189r73,-16l4382,2159r75,-12l4531,2138r79,l4593,2131r72,-3l4828,2128r-27,-15l4761,2105r-215,l4522,2091r-24,-15l4474,2060r-23,-17l4399,1990r-45,-64l4317,1854r-5,-14xm4610,2138r-79,l4600,2170r69,23l4732,2208r52,6l4806,2212r16,-4l4834,2200r1,-3l4807,2197r-42,-5l4713,2179r-59,-21l4610,2138xm4839,2189r-7,3l4820,2197r15,l4839,2189xm4828,2128r-163,l4748,2130r68,15l4844,2178r3,-8l4850,2167r,-7l4837,2132r-9,-4xm4673,2097r-28,1l4614,2100r-68,5l4761,2105r-16,-4l4673,2097xm4306,1544r-5,32l4294,1616r-8,49l4275,1725r21,l4297,1718r5,-58l4304,1603r2,-59xm4296,1464r-25,l4282,1471r11,12l4302,1500r4,25l4310,1486r-8,-20l4296,1464xe" fillcolor="#ffd8d8"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3188;top:1762;width:1139;height:406">
              <v:imagedata r:id="rId12" o:title=""/>
            </v:shape>
            <w10:wrap anchorx="page"/>
          </v:group>
        </w:pict>
      </w:r>
      <w:r>
        <w:t>6.1 Tato smlouva je vyhotovena ve dvou stejnopisech, z nichž každá ze smluvních stran obdrží po jednom. Smlouva nabývá platnosti dnem podpisu smluvními stranami a účinnosti uveřejněním v registru smlu</w:t>
      </w:r>
      <w:r>
        <w:t>v dle zákona č. 340/2015 Sb.</w:t>
      </w:r>
    </w:p>
    <w:p w:rsidR="00D73D16" w:rsidRDefault="00D73D16">
      <w:pPr>
        <w:pStyle w:val="Zkladntext"/>
        <w:rPr>
          <w:sz w:val="20"/>
        </w:rPr>
      </w:pPr>
    </w:p>
    <w:p w:rsidR="00D73D16" w:rsidRDefault="00D73D16">
      <w:pPr>
        <w:pStyle w:val="Zkladntext"/>
        <w:rPr>
          <w:sz w:val="20"/>
        </w:rPr>
      </w:pPr>
    </w:p>
    <w:p w:rsidR="00D73D16" w:rsidRDefault="00D73D16">
      <w:pPr>
        <w:pStyle w:val="Zkladntext"/>
        <w:rPr>
          <w:sz w:val="20"/>
        </w:rPr>
      </w:pPr>
    </w:p>
    <w:p w:rsidR="00D73D16" w:rsidRDefault="00D73D16">
      <w:pPr>
        <w:pStyle w:val="Zkladntext"/>
        <w:spacing w:after="1"/>
        <w:rPr>
          <w:sz w:val="22"/>
        </w:rPr>
      </w:pPr>
    </w:p>
    <w:tbl>
      <w:tblPr>
        <w:tblStyle w:val="TableNormal"/>
        <w:tblW w:w="0" w:type="auto"/>
        <w:tblInd w:w="612" w:type="dxa"/>
        <w:tblLayout w:type="fixed"/>
        <w:tblLook w:val="01E0" w:firstRow="1" w:lastRow="1" w:firstColumn="1" w:lastColumn="1" w:noHBand="0" w:noVBand="0"/>
      </w:tblPr>
      <w:tblGrid>
        <w:gridCol w:w="4711"/>
        <w:gridCol w:w="4335"/>
      </w:tblGrid>
      <w:tr w:rsidR="00D73D16">
        <w:trPr>
          <w:trHeight w:val="1500"/>
        </w:trPr>
        <w:tc>
          <w:tcPr>
            <w:tcW w:w="4711" w:type="dxa"/>
          </w:tcPr>
          <w:p w:rsidR="00D73D16" w:rsidRDefault="004D7150" w:rsidP="004D7150">
            <w:pPr>
              <w:pStyle w:val="TableParagraph"/>
              <w:tabs>
                <w:tab w:val="left" w:pos="2444"/>
              </w:tabs>
              <w:spacing w:line="184" w:lineRule="exact"/>
              <w:ind w:left="200"/>
              <w:rPr>
                <w:w w:val="105"/>
                <w:sz w:val="18"/>
              </w:rPr>
            </w:pPr>
            <w:r>
              <w:rPr>
                <w:w w:val="105"/>
                <w:sz w:val="18"/>
              </w:rPr>
              <w:t>V</w:t>
            </w:r>
            <w:r>
              <w:rPr>
                <w:spacing w:val="-11"/>
                <w:w w:val="105"/>
                <w:sz w:val="18"/>
              </w:rPr>
              <w:t xml:space="preserve"> </w:t>
            </w:r>
            <w:r>
              <w:rPr>
                <w:w w:val="105"/>
                <w:sz w:val="18"/>
              </w:rPr>
              <w:t>Praze</w:t>
            </w:r>
            <w:r>
              <w:rPr>
                <w:spacing w:val="-12"/>
                <w:w w:val="105"/>
                <w:sz w:val="18"/>
              </w:rPr>
              <w:t xml:space="preserve"> </w:t>
            </w:r>
            <w:r>
              <w:rPr>
                <w:w w:val="105"/>
                <w:sz w:val="18"/>
              </w:rPr>
              <w:t>dne</w:t>
            </w:r>
            <w:r>
              <w:rPr>
                <w:w w:val="105"/>
                <w:sz w:val="18"/>
              </w:rPr>
              <w:tab/>
            </w:r>
          </w:p>
          <w:p w:rsidR="004D7150" w:rsidRDefault="004D7150" w:rsidP="004D7150">
            <w:pPr>
              <w:pStyle w:val="TableParagraph"/>
              <w:tabs>
                <w:tab w:val="left" w:pos="2444"/>
              </w:tabs>
              <w:spacing w:line="184" w:lineRule="exact"/>
              <w:ind w:left="200"/>
              <w:rPr>
                <w:sz w:val="14"/>
              </w:rPr>
            </w:pPr>
          </w:p>
          <w:p w:rsidR="004D7150" w:rsidRDefault="004D7150" w:rsidP="004D7150">
            <w:pPr>
              <w:pStyle w:val="TableParagraph"/>
              <w:tabs>
                <w:tab w:val="left" w:pos="2444"/>
              </w:tabs>
              <w:spacing w:line="184" w:lineRule="exact"/>
              <w:ind w:left="200"/>
              <w:rPr>
                <w:sz w:val="14"/>
              </w:rPr>
            </w:pPr>
          </w:p>
          <w:p w:rsidR="004D7150" w:rsidRDefault="004D7150" w:rsidP="004D7150">
            <w:pPr>
              <w:pStyle w:val="TableParagraph"/>
              <w:tabs>
                <w:tab w:val="left" w:pos="2444"/>
              </w:tabs>
              <w:spacing w:line="184" w:lineRule="exact"/>
              <w:ind w:left="200"/>
              <w:rPr>
                <w:sz w:val="14"/>
              </w:rPr>
            </w:pPr>
          </w:p>
          <w:p w:rsidR="004D7150" w:rsidRDefault="004D7150" w:rsidP="004D7150">
            <w:pPr>
              <w:pStyle w:val="TableParagraph"/>
              <w:tabs>
                <w:tab w:val="left" w:pos="2444"/>
              </w:tabs>
              <w:spacing w:line="184" w:lineRule="exact"/>
              <w:ind w:left="200"/>
              <w:rPr>
                <w:sz w:val="14"/>
              </w:rPr>
            </w:pPr>
            <w:bookmarkStart w:id="0" w:name="_GoBack"/>
            <w:bookmarkEnd w:id="0"/>
          </w:p>
          <w:p w:rsidR="00D73D16" w:rsidRDefault="00D73D16">
            <w:pPr>
              <w:pStyle w:val="TableParagraph"/>
              <w:ind w:left="0"/>
              <w:rPr>
                <w:sz w:val="16"/>
              </w:rPr>
            </w:pPr>
          </w:p>
          <w:p w:rsidR="00D73D16" w:rsidRDefault="004D7150">
            <w:pPr>
              <w:pStyle w:val="TableParagraph"/>
              <w:ind w:left="294" w:right="148"/>
              <w:jc w:val="center"/>
              <w:rPr>
                <w:sz w:val="18"/>
              </w:rPr>
            </w:pPr>
            <w:r>
              <w:rPr>
                <w:sz w:val="18"/>
              </w:rPr>
              <w:t xml:space="preserve">za </w:t>
            </w:r>
            <w:proofErr w:type="spellStart"/>
            <w:r>
              <w:rPr>
                <w:sz w:val="18"/>
              </w:rPr>
              <w:t>Chrenek</w:t>
            </w:r>
            <w:proofErr w:type="spellEnd"/>
            <w:r>
              <w:rPr>
                <w:sz w:val="18"/>
              </w:rPr>
              <w:t>, Toman, Kotrba advokátní kancelář spol. s r. o.</w:t>
            </w:r>
          </w:p>
          <w:p w:rsidR="00D73D16" w:rsidRDefault="004D7150">
            <w:pPr>
              <w:pStyle w:val="TableParagraph"/>
              <w:spacing w:before="1" w:line="196" w:lineRule="exact"/>
              <w:ind w:left="294" w:right="147"/>
              <w:jc w:val="center"/>
              <w:rPr>
                <w:sz w:val="18"/>
              </w:rPr>
            </w:pPr>
            <w:r>
              <w:rPr>
                <w:sz w:val="18"/>
              </w:rPr>
              <w:t>JUDr. Jakub Kotrba, advokát, jednatel</w:t>
            </w:r>
          </w:p>
        </w:tc>
        <w:tc>
          <w:tcPr>
            <w:tcW w:w="4335" w:type="dxa"/>
          </w:tcPr>
          <w:p w:rsidR="00D73D16" w:rsidRDefault="004D7150">
            <w:pPr>
              <w:pStyle w:val="TableParagraph"/>
              <w:spacing w:line="183" w:lineRule="exact"/>
              <w:ind w:left="167"/>
              <w:rPr>
                <w:sz w:val="18"/>
              </w:rPr>
            </w:pPr>
            <w:r>
              <w:rPr>
                <w:sz w:val="18"/>
              </w:rPr>
              <w:t>V Kralupech nad Vltavou dne</w:t>
            </w:r>
          </w:p>
          <w:p w:rsidR="00D73D16" w:rsidRDefault="00D73D16">
            <w:pPr>
              <w:pStyle w:val="TableParagraph"/>
              <w:ind w:left="0"/>
              <w:rPr>
                <w:sz w:val="20"/>
              </w:rPr>
            </w:pPr>
          </w:p>
          <w:p w:rsidR="00D73D16" w:rsidRDefault="00D73D16">
            <w:pPr>
              <w:pStyle w:val="TableParagraph"/>
              <w:ind w:left="0"/>
              <w:rPr>
                <w:sz w:val="20"/>
              </w:rPr>
            </w:pPr>
          </w:p>
          <w:p w:rsidR="00D73D16" w:rsidRDefault="00D73D16">
            <w:pPr>
              <w:pStyle w:val="TableParagraph"/>
              <w:spacing w:before="8"/>
              <w:ind w:left="0"/>
              <w:rPr>
                <w:sz w:val="29"/>
              </w:rPr>
            </w:pPr>
          </w:p>
          <w:p w:rsidR="00D73D16" w:rsidRDefault="004D7150">
            <w:pPr>
              <w:pStyle w:val="TableParagraph"/>
              <w:spacing w:line="20" w:lineRule="exact"/>
              <w:ind w:left="795"/>
              <w:rPr>
                <w:sz w:val="2"/>
              </w:rPr>
            </w:pPr>
            <w:r>
              <w:rPr>
                <w:sz w:val="2"/>
              </w:rPr>
            </w:r>
            <w:r>
              <w:rPr>
                <w:sz w:val="2"/>
              </w:rPr>
              <w:pict>
                <v:group id="_x0000_s1029" style="width:152.2pt;height:.6pt;mso-position-horizontal-relative:char;mso-position-vertical-relative:line" coordsize="3044,12">
                  <v:line id="_x0000_s1030" style="position:absolute" from="0,6" to="3044,6" strokeweight=".20617mm"/>
                  <w10:wrap type="none"/>
                  <w10:anchorlock/>
                </v:group>
              </w:pict>
            </w:r>
          </w:p>
          <w:p w:rsidR="00D73D16" w:rsidRDefault="004D7150">
            <w:pPr>
              <w:pStyle w:val="TableParagraph"/>
              <w:spacing w:before="9"/>
              <w:ind w:left="497" w:right="180"/>
              <w:jc w:val="center"/>
              <w:rPr>
                <w:sz w:val="18"/>
              </w:rPr>
            </w:pPr>
            <w:r>
              <w:rPr>
                <w:sz w:val="18"/>
              </w:rPr>
              <w:t>za MERO ČR, a.s.</w:t>
            </w:r>
          </w:p>
          <w:p w:rsidR="00D73D16" w:rsidRDefault="004D7150">
            <w:pPr>
              <w:pStyle w:val="TableParagraph"/>
              <w:spacing w:before="1" w:line="196" w:lineRule="exact"/>
              <w:ind w:left="576" w:right="180"/>
              <w:jc w:val="center"/>
              <w:rPr>
                <w:sz w:val="18"/>
              </w:rPr>
            </w:pPr>
            <w:r>
              <w:rPr>
                <w:sz w:val="18"/>
              </w:rPr>
              <w:t>Ing. Jaroslav Pantůček, předseda představenstva</w:t>
            </w:r>
          </w:p>
        </w:tc>
      </w:tr>
    </w:tbl>
    <w:p w:rsidR="00D73D16" w:rsidRDefault="00D73D16">
      <w:pPr>
        <w:pStyle w:val="Zkladntext"/>
        <w:rPr>
          <w:sz w:val="20"/>
        </w:rPr>
      </w:pPr>
    </w:p>
    <w:p w:rsidR="00D73D16" w:rsidRDefault="00D73D16">
      <w:pPr>
        <w:pStyle w:val="Zkladntext"/>
        <w:spacing w:before="7"/>
        <w:rPr>
          <w:sz w:val="17"/>
        </w:rPr>
      </w:pPr>
    </w:p>
    <w:p w:rsidR="00D73D16" w:rsidRDefault="004D7150">
      <w:pPr>
        <w:pStyle w:val="Zkladntext"/>
        <w:spacing w:before="64"/>
        <w:ind w:left="5483"/>
      </w:pPr>
      <w:r>
        <w:t>V Kralupech nad Vltavou dne</w:t>
      </w:r>
    </w:p>
    <w:p w:rsidR="00D73D16" w:rsidRDefault="004D7150">
      <w:pPr>
        <w:pStyle w:val="Zkladntext"/>
        <w:spacing w:before="9"/>
        <w:rPr>
          <w:sz w:val="11"/>
        </w:rPr>
      </w:pPr>
      <w:r>
        <w:pict>
          <v:line id="_x0000_s1028" style="position:absolute;z-index:-251659264;mso-wrap-distance-left:0;mso-wrap-distance-right:0;mso-position-horizontal-relative:page" from="70.95pt,9.45pt" to="214.95pt,9.45pt" strokeweight=".6pt">
            <w10:wrap type="topAndBottom" anchorx="page"/>
          </v:line>
        </w:pict>
      </w:r>
    </w:p>
    <w:p w:rsidR="00D73D16" w:rsidRDefault="004D7150">
      <w:pPr>
        <w:spacing w:before="77"/>
        <w:ind w:left="118"/>
        <w:rPr>
          <w:sz w:val="16"/>
        </w:rPr>
      </w:pPr>
      <w:r>
        <w:rPr>
          <w:rFonts w:ascii="Times New Roman" w:hAnsi="Times New Roman"/>
          <w:position w:val="6"/>
          <w:sz w:val="10"/>
        </w:rPr>
        <w:t xml:space="preserve">1 </w:t>
      </w:r>
      <w:r>
        <w:rPr>
          <w:sz w:val="16"/>
        </w:rPr>
        <w:t>vyhláška č. 177/1996 Sb., o odměnách advokátů a náhradách advokátů za poskytování právních služeb (advokátní tarif)</w:t>
      </w:r>
    </w:p>
    <w:p w:rsidR="00D73D16" w:rsidRDefault="004D7150">
      <w:pPr>
        <w:ind w:left="118"/>
        <w:rPr>
          <w:sz w:val="16"/>
        </w:rPr>
      </w:pPr>
      <w:r>
        <w:rPr>
          <w:rFonts w:ascii="Times New Roman" w:hAnsi="Times New Roman"/>
          <w:position w:val="6"/>
          <w:sz w:val="10"/>
        </w:rPr>
        <w:t xml:space="preserve">2 </w:t>
      </w:r>
      <w:r>
        <w:rPr>
          <w:sz w:val="16"/>
        </w:rPr>
        <w:t>zákona č. 85/1996 Sb., o advokacii, ve znění pozdějších předpisů</w:t>
      </w:r>
    </w:p>
    <w:p w:rsidR="00D73D16" w:rsidRDefault="00D73D16">
      <w:pPr>
        <w:rPr>
          <w:sz w:val="16"/>
        </w:rPr>
        <w:sectPr w:rsidR="00D73D16">
          <w:pgSz w:w="11910" w:h="16840"/>
          <w:pgMar w:top="1660" w:right="840" w:bottom="920" w:left="1300" w:header="746" w:footer="734" w:gutter="0"/>
          <w:cols w:space="708"/>
        </w:sectPr>
      </w:pPr>
    </w:p>
    <w:p w:rsidR="00D73D16" w:rsidRDefault="00D73D16">
      <w:pPr>
        <w:pStyle w:val="Zkladntext"/>
        <w:rPr>
          <w:sz w:val="20"/>
        </w:rPr>
      </w:pPr>
    </w:p>
    <w:p w:rsidR="00D73D16" w:rsidRDefault="00D73D16">
      <w:pPr>
        <w:pStyle w:val="Zkladntext"/>
        <w:rPr>
          <w:sz w:val="20"/>
        </w:rPr>
      </w:pPr>
    </w:p>
    <w:p w:rsidR="00D73D16" w:rsidRDefault="00D73D16">
      <w:pPr>
        <w:pStyle w:val="Zkladntext"/>
        <w:rPr>
          <w:sz w:val="20"/>
        </w:rPr>
      </w:pPr>
    </w:p>
    <w:p w:rsidR="00D73D16" w:rsidRDefault="00D73D16">
      <w:pPr>
        <w:pStyle w:val="Zkladntext"/>
        <w:rPr>
          <w:sz w:val="20"/>
        </w:rPr>
      </w:pPr>
    </w:p>
    <w:p w:rsidR="00D73D16" w:rsidRDefault="00D73D16">
      <w:pPr>
        <w:pStyle w:val="Zkladntext"/>
        <w:spacing w:before="6"/>
        <w:rPr>
          <w:sz w:val="20"/>
        </w:rPr>
      </w:pPr>
    </w:p>
    <w:p w:rsidR="00D73D16" w:rsidRDefault="004D7150">
      <w:pPr>
        <w:pStyle w:val="Zkladntext"/>
        <w:spacing w:line="20" w:lineRule="exact"/>
        <w:ind w:left="6111"/>
        <w:rPr>
          <w:sz w:val="2"/>
        </w:rPr>
      </w:pPr>
      <w:r>
        <w:rPr>
          <w:sz w:val="2"/>
        </w:rPr>
      </w:r>
      <w:r>
        <w:rPr>
          <w:sz w:val="2"/>
        </w:rPr>
        <w:pict>
          <v:group id="_x0000_s1026" style="width:152.2pt;height:.6pt;mso-position-horizontal-relative:char;mso-position-vertical-relative:line" coordsize="3044,12">
            <v:line id="_x0000_s1027" style="position:absolute" from="0,6" to="3044,6" strokeweight=".20617mm"/>
            <w10:anchorlock/>
          </v:group>
        </w:pict>
      </w:r>
    </w:p>
    <w:p w:rsidR="00D73D16" w:rsidRDefault="004D7150">
      <w:pPr>
        <w:pStyle w:val="Zkladntext"/>
        <w:spacing w:before="6"/>
        <w:ind w:right="1508"/>
        <w:jc w:val="right"/>
      </w:pPr>
      <w:r>
        <w:t>za MERO ČR, a.s.</w:t>
      </w:r>
    </w:p>
    <w:p w:rsidR="00D73D16" w:rsidRDefault="004D7150">
      <w:pPr>
        <w:pStyle w:val="Zkladntext"/>
        <w:spacing w:before="2"/>
        <w:ind w:left="5781" w:right="263"/>
        <w:jc w:val="center"/>
      </w:pPr>
      <w:r>
        <w:t xml:space="preserve">Ing. Zdeněk </w:t>
      </w:r>
      <w:proofErr w:type="spellStart"/>
      <w:r>
        <w:t>Dundr</w:t>
      </w:r>
      <w:proofErr w:type="spellEnd"/>
      <w:r>
        <w:t>, místopředseda představenstva</w:t>
      </w:r>
    </w:p>
    <w:sectPr w:rsidR="00D73D16">
      <w:pgSz w:w="11910" w:h="16840"/>
      <w:pgMar w:top="1660" w:right="840" w:bottom="920" w:left="1300" w:header="746"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D7150">
      <w:r>
        <w:separator/>
      </w:r>
    </w:p>
  </w:endnote>
  <w:endnote w:type="continuationSeparator" w:id="0">
    <w:p w:rsidR="00000000" w:rsidRDefault="004D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D16" w:rsidRDefault="004D7150">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1pt;margin-top:794.25pt;width:9.6pt;height:13.05pt;z-index:-5464;mso-position-horizontal-relative:page;mso-position-vertical-relative:page" filled="f" stroked="f">
          <v:textbox inset="0,0,0,0">
            <w:txbxContent>
              <w:p w:rsidR="00D73D16" w:rsidRDefault="004D7150">
                <w:pPr>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D7150">
      <w:r>
        <w:separator/>
      </w:r>
    </w:p>
  </w:footnote>
  <w:footnote w:type="continuationSeparator" w:id="0">
    <w:p w:rsidR="00000000" w:rsidRDefault="004D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D16" w:rsidRDefault="004D7150">
    <w:pPr>
      <w:pStyle w:val="Zkladntext"/>
      <w:spacing w:line="14" w:lineRule="auto"/>
      <w:rPr>
        <w:sz w:val="20"/>
      </w:rPr>
    </w:pPr>
    <w:r>
      <w:rPr>
        <w:noProof/>
      </w:rPr>
      <w:drawing>
        <wp:anchor distT="0" distB="0" distL="0" distR="0" simplePos="0" relativeHeight="268429943" behindDoc="1" locked="0" layoutInCell="1" allowOverlap="1">
          <wp:simplePos x="0" y="0"/>
          <wp:positionH relativeFrom="page">
            <wp:posOffset>538609</wp:posOffset>
          </wp:positionH>
          <wp:positionV relativeFrom="page">
            <wp:posOffset>570131</wp:posOffset>
          </wp:positionV>
          <wp:extent cx="6399407" cy="4743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99407" cy="47434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418.5pt;margin-top:36.3pt;width:121.4pt;height:22.05pt;z-index:-5488;mso-position-horizontal-relative:page;mso-position-vertical-relative:page" filled="f" stroked="f">
          <v:textbox inset="0,0,0,0">
            <w:txbxContent>
              <w:p w:rsidR="00D73D16" w:rsidRDefault="004D7150">
                <w:pPr>
                  <w:pStyle w:val="Zkladntext"/>
                  <w:spacing w:line="203" w:lineRule="exact"/>
                  <w:ind w:left="20"/>
                </w:pPr>
                <w:r>
                  <w:t>OBJEDNÁVKA PRÁVNÍCH</w:t>
                </w:r>
                <w:r>
                  <w:rPr>
                    <w:spacing w:val="-10"/>
                  </w:rPr>
                  <w:t xml:space="preserve"> </w:t>
                </w:r>
                <w:r>
                  <w:t>SLUŽEB</w:t>
                </w:r>
              </w:p>
              <w:p w:rsidR="00D73D16" w:rsidRDefault="004D7150">
                <w:pPr>
                  <w:pStyle w:val="Zkladntext"/>
                  <w:spacing w:before="1"/>
                  <w:ind w:left="1570"/>
                </w:pPr>
                <w:r>
                  <w:t>01357/POR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40184"/>
    <w:multiLevelType w:val="multilevel"/>
    <w:tmpl w:val="EDA0A3B0"/>
    <w:lvl w:ilvl="0">
      <w:start w:val="5"/>
      <w:numFmt w:val="decimal"/>
      <w:lvlText w:val="%1"/>
      <w:lvlJc w:val="left"/>
      <w:pPr>
        <w:ind w:left="601" w:hanging="425"/>
        <w:jc w:val="left"/>
      </w:pPr>
      <w:rPr>
        <w:rFonts w:hint="default"/>
        <w:lang w:val="cs-CZ" w:eastAsia="cs-CZ" w:bidi="cs-CZ"/>
      </w:rPr>
    </w:lvl>
    <w:lvl w:ilvl="1">
      <w:start w:val="1"/>
      <w:numFmt w:val="decimal"/>
      <w:lvlText w:val="%1.%2"/>
      <w:lvlJc w:val="left"/>
      <w:pPr>
        <w:ind w:left="601" w:hanging="425"/>
        <w:jc w:val="left"/>
      </w:pPr>
      <w:rPr>
        <w:rFonts w:ascii="Calibri" w:eastAsia="Calibri" w:hAnsi="Calibri" w:cs="Calibri" w:hint="default"/>
        <w:spacing w:val="-7"/>
        <w:w w:val="100"/>
        <w:sz w:val="18"/>
        <w:szCs w:val="18"/>
        <w:lang w:val="cs-CZ" w:eastAsia="cs-CZ" w:bidi="cs-CZ"/>
      </w:rPr>
    </w:lvl>
    <w:lvl w:ilvl="2">
      <w:numFmt w:val="bullet"/>
      <w:lvlText w:val="•"/>
      <w:lvlJc w:val="left"/>
      <w:pPr>
        <w:ind w:left="2433" w:hanging="425"/>
      </w:pPr>
      <w:rPr>
        <w:rFonts w:hint="default"/>
        <w:lang w:val="cs-CZ" w:eastAsia="cs-CZ" w:bidi="cs-CZ"/>
      </w:rPr>
    </w:lvl>
    <w:lvl w:ilvl="3">
      <w:numFmt w:val="bullet"/>
      <w:lvlText w:val="•"/>
      <w:lvlJc w:val="left"/>
      <w:pPr>
        <w:ind w:left="3349" w:hanging="425"/>
      </w:pPr>
      <w:rPr>
        <w:rFonts w:hint="default"/>
        <w:lang w:val="cs-CZ" w:eastAsia="cs-CZ" w:bidi="cs-CZ"/>
      </w:rPr>
    </w:lvl>
    <w:lvl w:ilvl="4">
      <w:numFmt w:val="bullet"/>
      <w:lvlText w:val="•"/>
      <w:lvlJc w:val="left"/>
      <w:pPr>
        <w:ind w:left="4266" w:hanging="425"/>
      </w:pPr>
      <w:rPr>
        <w:rFonts w:hint="default"/>
        <w:lang w:val="cs-CZ" w:eastAsia="cs-CZ" w:bidi="cs-CZ"/>
      </w:rPr>
    </w:lvl>
    <w:lvl w:ilvl="5">
      <w:numFmt w:val="bullet"/>
      <w:lvlText w:val="•"/>
      <w:lvlJc w:val="left"/>
      <w:pPr>
        <w:ind w:left="5183" w:hanging="425"/>
      </w:pPr>
      <w:rPr>
        <w:rFonts w:hint="default"/>
        <w:lang w:val="cs-CZ" w:eastAsia="cs-CZ" w:bidi="cs-CZ"/>
      </w:rPr>
    </w:lvl>
    <w:lvl w:ilvl="6">
      <w:numFmt w:val="bullet"/>
      <w:lvlText w:val="•"/>
      <w:lvlJc w:val="left"/>
      <w:pPr>
        <w:ind w:left="6099" w:hanging="425"/>
      </w:pPr>
      <w:rPr>
        <w:rFonts w:hint="default"/>
        <w:lang w:val="cs-CZ" w:eastAsia="cs-CZ" w:bidi="cs-CZ"/>
      </w:rPr>
    </w:lvl>
    <w:lvl w:ilvl="7">
      <w:numFmt w:val="bullet"/>
      <w:lvlText w:val="•"/>
      <w:lvlJc w:val="left"/>
      <w:pPr>
        <w:ind w:left="7016" w:hanging="425"/>
      </w:pPr>
      <w:rPr>
        <w:rFonts w:hint="default"/>
        <w:lang w:val="cs-CZ" w:eastAsia="cs-CZ" w:bidi="cs-CZ"/>
      </w:rPr>
    </w:lvl>
    <w:lvl w:ilvl="8">
      <w:numFmt w:val="bullet"/>
      <w:lvlText w:val="•"/>
      <w:lvlJc w:val="left"/>
      <w:pPr>
        <w:ind w:left="7933" w:hanging="425"/>
      </w:pPr>
      <w:rPr>
        <w:rFonts w:hint="default"/>
        <w:lang w:val="cs-CZ" w:eastAsia="cs-CZ" w:bidi="cs-CZ"/>
      </w:rPr>
    </w:lvl>
  </w:abstractNum>
  <w:abstractNum w:abstractNumId="1" w15:restartNumberingAfterBreak="0">
    <w:nsid w:val="64294561"/>
    <w:multiLevelType w:val="multilevel"/>
    <w:tmpl w:val="3D36B352"/>
    <w:lvl w:ilvl="0">
      <w:start w:val="1"/>
      <w:numFmt w:val="decimal"/>
      <w:lvlText w:val="%1"/>
      <w:lvlJc w:val="left"/>
      <w:pPr>
        <w:ind w:left="601" w:hanging="425"/>
        <w:jc w:val="left"/>
      </w:pPr>
      <w:rPr>
        <w:rFonts w:hint="default"/>
        <w:lang w:val="cs-CZ" w:eastAsia="cs-CZ" w:bidi="cs-CZ"/>
      </w:rPr>
    </w:lvl>
    <w:lvl w:ilvl="1">
      <w:start w:val="1"/>
      <w:numFmt w:val="decimal"/>
      <w:lvlText w:val="%1.%2"/>
      <w:lvlJc w:val="left"/>
      <w:pPr>
        <w:ind w:left="601" w:hanging="425"/>
        <w:jc w:val="left"/>
      </w:pPr>
      <w:rPr>
        <w:rFonts w:ascii="Calibri" w:eastAsia="Calibri" w:hAnsi="Calibri" w:cs="Calibri" w:hint="default"/>
        <w:spacing w:val="-8"/>
        <w:w w:val="100"/>
        <w:sz w:val="18"/>
        <w:szCs w:val="18"/>
        <w:lang w:val="cs-CZ" w:eastAsia="cs-CZ" w:bidi="cs-CZ"/>
      </w:rPr>
    </w:lvl>
    <w:lvl w:ilvl="2">
      <w:start w:val="1"/>
      <w:numFmt w:val="lowerLetter"/>
      <w:lvlText w:val="%3)"/>
      <w:lvlJc w:val="left"/>
      <w:pPr>
        <w:ind w:left="826" w:hanging="281"/>
        <w:jc w:val="left"/>
      </w:pPr>
      <w:rPr>
        <w:rFonts w:ascii="Calibri" w:eastAsia="Calibri" w:hAnsi="Calibri" w:cs="Calibri" w:hint="default"/>
        <w:spacing w:val="-18"/>
        <w:w w:val="100"/>
        <w:sz w:val="18"/>
        <w:szCs w:val="18"/>
        <w:lang w:val="cs-CZ" w:eastAsia="cs-CZ" w:bidi="cs-CZ"/>
      </w:rPr>
    </w:lvl>
    <w:lvl w:ilvl="3">
      <w:numFmt w:val="bullet"/>
      <w:lvlText w:val="•"/>
      <w:lvlJc w:val="left"/>
      <w:pPr>
        <w:ind w:left="2808" w:hanging="281"/>
      </w:pPr>
      <w:rPr>
        <w:rFonts w:hint="default"/>
        <w:lang w:val="cs-CZ" w:eastAsia="cs-CZ" w:bidi="cs-CZ"/>
      </w:rPr>
    </w:lvl>
    <w:lvl w:ilvl="4">
      <w:numFmt w:val="bullet"/>
      <w:lvlText w:val="•"/>
      <w:lvlJc w:val="left"/>
      <w:pPr>
        <w:ind w:left="3802" w:hanging="281"/>
      </w:pPr>
      <w:rPr>
        <w:rFonts w:hint="default"/>
        <w:lang w:val="cs-CZ" w:eastAsia="cs-CZ" w:bidi="cs-CZ"/>
      </w:rPr>
    </w:lvl>
    <w:lvl w:ilvl="5">
      <w:numFmt w:val="bullet"/>
      <w:lvlText w:val="•"/>
      <w:lvlJc w:val="left"/>
      <w:pPr>
        <w:ind w:left="4796" w:hanging="281"/>
      </w:pPr>
      <w:rPr>
        <w:rFonts w:hint="default"/>
        <w:lang w:val="cs-CZ" w:eastAsia="cs-CZ" w:bidi="cs-CZ"/>
      </w:rPr>
    </w:lvl>
    <w:lvl w:ilvl="6">
      <w:numFmt w:val="bullet"/>
      <w:lvlText w:val="•"/>
      <w:lvlJc w:val="left"/>
      <w:pPr>
        <w:ind w:left="5790" w:hanging="281"/>
      </w:pPr>
      <w:rPr>
        <w:rFonts w:hint="default"/>
        <w:lang w:val="cs-CZ" w:eastAsia="cs-CZ" w:bidi="cs-CZ"/>
      </w:rPr>
    </w:lvl>
    <w:lvl w:ilvl="7">
      <w:numFmt w:val="bullet"/>
      <w:lvlText w:val="•"/>
      <w:lvlJc w:val="left"/>
      <w:pPr>
        <w:ind w:left="6784" w:hanging="281"/>
      </w:pPr>
      <w:rPr>
        <w:rFonts w:hint="default"/>
        <w:lang w:val="cs-CZ" w:eastAsia="cs-CZ" w:bidi="cs-CZ"/>
      </w:rPr>
    </w:lvl>
    <w:lvl w:ilvl="8">
      <w:numFmt w:val="bullet"/>
      <w:lvlText w:val="•"/>
      <w:lvlJc w:val="left"/>
      <w:pPr>
        <w:ind w:left="7778" w:hanging="281"/>
      </w:pPr>
      <w:rPr>
        <w:rFonts w:hint="default"/>
        <w:lang w:val="cs-CZ" w:eastAsia="cs-CZ" w:bidi="cs-CZ"/>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73D16"/>
    <w:rsid w:val="004D7150"/>
    <w:rsid w:val="00D73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BA20898"/>
  <w15:docId w15:val="{968EF6A8-7DD5-4C98-9398-F26CD3F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01"/>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85"/>
      <w:ind w:left="601" w:hanging="425"/>
      <w:jc w:val="both"/>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akturace@mer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s@mero.cz"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o.cz/o-spolecnosti/eticky-kodex/"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5747</Characters>
  <Application>Microsoft Office Word</Application>
  <DocSecurity>0</DocSecurity>
  <Lines>47</Lines>
  <Paragraphs>13</Paragraphs>
  <ScaleCrop>false</ScaleCrop>
  <Company>MERO ČR, a.s.</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Dolanská Ivana</dc:creator>
  <cp:lastModifiedBy>Kateřina Nývltová</cp:lastModifiedBy>
  <cp:revision>2</cp:revision>
  <dcterms:created xsi:type="dcterms:W3CDTF">2023-04-12T05:34:00Z</dcterms:created>
  <dcterms:modified xsi:type="dcterms:W3CDTF">2023-04-12T05:35:00Z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2016</vt:lpwstr>
  </property>
  <property fmtid="{D5CDD505-2E9C-101B-9397-08002B2CF9AE}" pid="4" name="LastSaved">
    <vt:filetime>2023-04-12T00:00:00Z</vt:filetime>
  </property>
</Properties>
</file>