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975360" cy="57277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975360" cy="5727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579" w:line="1" w:lineRule="exact"/>
      </w:pPr>
    </w:p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DOHODA O NAROVNÁNÍ</w:t>
      </w:r>
      <w:bookmarkEnd w:id="0"/>
      <w:bookmarkEnd w:id="1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260" w:line="23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1</w:t>
        <w:br/>
        <w:t>Smluvní strany</w:t>
      </w:r>
      <w:bookmarkEnd w:id="2"/>
      <w:bookmarkEnd w:id="3"/>
    </w:p>
    <w:tbl>
      <w:tblPr>
        <w:tblOverlap w:val="never"/>
        <w:jc w:val="left"/>
        <w:tblLayout w:type="fixed"/>
      </w:tblPr>
      <w:tblGrid>
        <w:gridCol w:w="2026"/>
        <w:gridCol w:w="6125"/>
      </w:tblGrid>
      <w:tr>
        <w:trPr>
          <w:trHeight w:val="2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58601 Jihlava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CZ00090450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„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Objednatel“)</w:t>
      </w:r>
    </w:p>
    <w:p>
      <w:pPr>
        <w:widowControl w:val="0"/>
        <w:spacing w:after="199" w:line="1" w:lineRule="exact"/>
      </w:pP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bookmarkEnd w:id="4"/>
      <w:bookmarkEnd w:id="5"/>
    </w:p>
    <w:tbl>
      <w:tblPr>
        <w:tblOverlap w:val="never"/>
        <w:jc w:val="left"/>
        <w:tblLayout w:type="fixed"/>
      </w:tblPr>
      <w:tblGrid>
        <w:gridCol w:w="2026"/>
        <w:gridCol w:w="6120"/>
      </w:tblGrid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Metrostav Infrastructure a.s.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Koželužská 2246/5, Libeň, 180 00 Praha 8</w:t>
            </w:r>
          </w:p>
        </w:tc>
      </w:tr>
      <w:tr>
        <w:trPr>
          <w:trHeight w:val="65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Zdeňkem Ludvíkem, předsedou představenstva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Petrem Hejdrychem, členem představenstva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 vedeném u Městského soudu v Praze, oddíl B, vložka 17819</w:t>
      </w:r>
    </w:p>
    <w:p>
      <w:pPr>
        <w:widowControl w:val="0"/>
        <w:spacing w:after="1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pos="201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24204005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11" w:val="left"/>
        </w:tabs>
        <w:bidi w:val="0"/>
        <w:spacing w:before="0" w:after="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CZ24204005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(společně také jako „Smluvní strany“ nebo jednotlivě „Smluvní strana“)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souvislosti se smlouvou o dílo ze dne 28. 04. 2022, číslo smlouvy objednatele: P-ST-7-2022, číslo smlouvy zhotovitele: MIOS22800080, na provedení stavby „II/404 Luka nad Jihlavou průtah + mosty ev. č. 404-004 a 404</w:t>
        <w:softHyphen/>
        <w:t>005“ upravenou Dodatkem č. 1 ze dne 1. 12. 2022 (dále též jen „Smlouva o dílo“) uzavírají níže uvedeného dne, měsíce a roku tuto Dohodu o narovnání.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Preambule</w:t>
      </w:r>
      <w:bookmarkEnd w:id="6"/>
      <w:bookmarkEnd w:id="7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1" w:val="left"/>
        </w:tabs>
        <w:bidi w:val="0"/>
        <w:spacing w:before="0" w:after="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podle názoru Objednatele nedodržel termín pro užívání díla před jeho předáním ve smyslu čl. XII obchodních podmínek, které jsou součástí Smlouvy o dílo (dále jen „OP“), a včas neposkytl součinnost při</w:t>
        <w:br w:type="pag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přípravě a v průběhu řízení před příslušným stavebním úřadem. Z tohoto důvodu vyčíslil Objednatel Zhotoviteli smluvní pokutu.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96" w:val="left"/>
        </w:tabs>
        <w:bidi w:val="0"/>
        <w:spacing w:before="0" w:line="23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názoru Zhotovitele byl termín pro užívání díla dodržen a včas poskytl součinnost při přípravě a v průběhu řízení před příslušným stavebním úřadem. Zhotovitel nárok na úhradu jakékoli smluvní pokuty v souvislosti se skutečnostmi uvedenými v odst. 2.1. tohoto článku Dohody o narovnání odmítá a nepovažuje jej za důvodný.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3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Narovnání</w:t>
      </w:r>
      <w:bookmarkEnd w:id="8"/>
      <w:bookmarkEnd w:id="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3.1.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ve snaze předejít sporům dohodly na narovnání sporných skutečností a nároků uvedených v čl. 2 Dohody o narovnání následovně: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3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uhradí Objednateli částku ve výši 332 764,51 Kč, a to na základě samostatného daňového dokladu vystaveného Objednatelem po nabytí účinnosti Dohody o narovnání s dobou splatnosti 60 dnů ode dne doručení daňového dokladu, ve kterém bude v souladu se smyslem této Dohody o narovnání fakturována pouze položka „Platba podle dohody o narovnání v souvislosti se smlouvou o dílo, číslo smlouvy objednatele: P-ST-7-2022, číslo smlouvy zhotovitele: MIOS22800080, na provedení stavby „II/404 Luka nad Jihlavou průtah + mosty ev. č. 404-004 a 404-005“. V daňovém dokladu nemůže být uveden pojem „smluvní pokuta“ nebo pojem jemu významově odpovídající.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96" w:val="left"/>
        </w:tabs>
        <w:bidi w:val="0"/>
        <w:spacing w:before="0" w:line="23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Narovnáním podle této Dohody o narovnání, tzn. uhrazením částky podle čl. 3 odst. 3.1. Dohody o narovnání Zhotovitelem Objednateli, budou vypořádány všechny sporné nároky v souvislosti se skutečnostmi uvedenými v čl. 2 Dohody o narovnání a Objednatel je nebude vůči Zhotovitel dále uplatňovat. Objednatel dále výslovně potvrzuje, že mu v souvislosti se skutečnostmi uvedenými v čl. II této Dohody o narovnání nevznikly žádné další nároky, které by nebyly vypořádány narovnáním uvedeným v čl. 3 odst. 3.1. této Dohody o narovnání, a pokud ano, nebude je Objednatel vůči Zhotoviteli uplatňovat.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4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80" w:line="23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</w:t>
      </w:r>
      <w:bookmarkEnd w:id="10"/>
      <w:bookmarkEnd w:id="1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4.1.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Dohoda o narovnání nabývá platnosti dnem jejího podpisu oběma Smluvními stranami a účinnosti zveřejněním dohody o narovnání v registru smluv, kam bude vložena Objednatelem.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DŮKAZ SVÉHO SOUHLASU S OBSAHEM TÉTO DOHODY O NAROVNÁNÍ K NÍ SMLUVNÍ STRANY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PŘIPOJILY SVÉ UZNÁVANÉ ELEKTRONICKÉ PODPISY DLE ZÁKONA Č. 297/2016 SB., O SLUŽBÁCH VYTVÁŘEJÍCÍCH DŮVĚRU PRO ELEKTRONICKÉ TRANSAKCE, VE ZNĚNÍ POZDĚJŠÍCH PŘEDPISŮ.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060" w:right="0" w:firstLine="0"/>
        <w:jc w:val="left"/>
        <w:sectPr>
          <w:headerReference w:type="default" r:id="rId7"/>
          <w:footerReference w:type="default" r:id="rId8"/>
          <w:footnotePr>
            <w:pos w:val="pageBottom"/>
            <w:numFmt w:val="decimal"/>
            <w:numRestart w:val="continuous"/>
          </w:footnotePr>
          <w:pgSz w:w="11900" w:h="16840"/>
          <w:pgMar w:top="2310" w:left="1075" w:right="932" w:bottom="2368" w:header="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12700</wp:posOffset>
                </wp:positionV>
                <wp:extent cx="1097280" cy="173990"/>
                <wp:wrapSquare wrapText="right"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9728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Praze: viz podpis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66.pt;margin-top:1.pt;width:86.400000000000006pt;height:13.6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Praze: viz podpis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dne: viz podpis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1" w:after="4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310" w:left="0" w:right="0" w:bottom="231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4873625</wp:posOffset>
                </wp:positionH>
                <wp:positionV relativeFrom="paragraph">
                  <wp:posOffset>12700</wp:posOffset>
                </wp:positionV>
                <wp:extent cx="1807210" cy="368935"/>
                <wp:wrapSquare wrapText="bothSides"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07210" cy="3689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 silnic Vysočiny, příspěvková organizace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Radovan Necid, ředitel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383.75pt;margin-top:1.pt;width:142.30000000000001pt;height:29.05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 silnic Vysočiny, příspěvková organizace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Radovan Necid, ředitel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Zdeněk Ludvík předseda představenstva Metrostav Infrastructure a.s.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310" w:left="1325" w:right="5444" w:bottom="2310" w:header="0" w:footer="3" w:gutter="0"/>
          <w:cols w:num="2" w:space="1113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Petr Hejdrych člen představenstva Metrostav Infrastructure a.s.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2310" w:left="1325" w:right="5444" w:bottom="2310" w:header="0" w:footer="3" w:gutter="0"/>
      <w:cols w:num="2" w:space="1113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3532505</wp:posOffset>
              </wp:positionH>
              <wp:positionV relativeFrom="page">
                <wp:posOffset>9513570</wp:posOffset>
              </wp:positionV>
              <wp:extent cx="585470" cy="10985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54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78.14999999999998pt;margin-top:749.10000000000002pt;width:46.100000000000001pt;height:8.65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713105</wp:posOffset>
              </wp:positionH>
              <wp:positionV relativeFrom="page">
                <wp:posOffset>9473565</wp:posOffset>
              </wp:positionV>
              <wp:extent cx="6229985" cy="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22998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6.149999999999999pt;margin-top:745.95000000000005pt;width:490.55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801370</wp:posOffset>
              </wp:positionH>
              <wp:positionV relativeFrom="page">
                <wp:posOffset>1000125</wp:posOffset>
              </wp:positionV>
              <wp:extent cx="1877695" cy="222250"/>
              <wp:wrapNone/>
              <wp:docPr id="2" name="Shape 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77695" cy="2222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II/404 Luka nad Jihlavou průtah + mosty</w:t>
                          </w:r>
                        </w:p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ev. č. 404-004 a 404-005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3.100000000000001pt;margin-top:78.75pt;width:147.84999999999999pt;height:17.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II/404 Luka nad Jihlavou průtah + mosty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ev. č. 404-004 a 404-005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4565650</wp:posOffset>
              </wp:positionH>
              <wp:positionV relativeFrom="page">
                <wp:posOffset>1000125</wp:posOffset>
              </wp:positionV>
              <wp:extent cx="1862455" cy="225425"/>
              <wp:wrapNone/>
              <wp:docPr id="4" name="Shape 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62455" cy="2254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Číslo smlouvy objednatele: P-ST-7-2022</w:t>
                          </w:r>
                        </w:p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Číslo smlouvy zhotovitele: MIOS22800080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359.5pt;margin-top:78.75pt;width:146.65000000000001pt;height:17.7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Číslo smlouvy objednatele: P-ST-7-2022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Číslo smlouvy zhotovitele: MIOS22800080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713105</wp:posOffset>
              </wp:positionH>
              <wp:positionV relativeFrom="page">
                <wp:posOffset>1286510</wp:posOffset>
              </wp:positionV>
              <wp:extent cx="6229985" cy="0"/>
              <wp:wrapNone/>
              <wp:docPr id="6" name="Shape 6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22998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6.149999999999999pt;margin-top:101.3pt;width:490.55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2"/>
      <w:numFmt w:val="decimal"/>
      <w:lvlText w:val="3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Nadpis #1_"/>
    <w:basedOn w:val="DefaultParagraphFont"/>
    <w:link w:val="Style7"/>
    <w:rPr>
      <w:rFonts w:ascii="Cambria" w:eastAsia="Cambria" w:hAnsi="Cambria" w:cs="Cambri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0">
    <w:name w:val="Nadpis #2_"/>
    <w:basedOn w:val="DefaultParagraphFont"/>
    <w:link w:val="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Titulek tabulky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Jiné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Základní text (2)_"/>
    <w:basedOn w:val="DefaultParagraphFont"/>
    <w:link w:val="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3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Nadpis #1"/>
    <w:basedOn w:val="Normal"/>
    <w:link w:val="CharStyle8"/>
    <w:pPr>
      <w:widowControl w:val="0"/>
      <w:shd w:val="clear" w:color="auto" w:fill="FFFFFF"/>
      <w:spacing w:after="820"/>
      <w:jc w:val="center"/>
      <w:outlineLvl w:val="0"/>
    </w:pPr>
    <w:rPr>
      <w:rFonts w:ascii="Cambria" w:eastAsia="Cambria" w:hAnsi="Cambria" w:cs="Cambria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Style9">
    <w:name w:val="Nadpis #2"/>
    <w:basedOn w:val="Normal"/>
    <w:link w:val="CharStyle10"/>
    <w:pPr>
      <w:widowControl w:val="0"/>
      <w:shd w:val="clear" w:color="auto" w:fill="FFFFFF"/>
      <w:spacing w:after="170" w:line="235" w:lineRule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Titulek tabulky"/>
    <w:basedOn w:val="Normal"/>
    <w:link w:val="CharStyle12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FFFFFF"/>
      <w:spacing w:after="3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8">
    <w:name w:val="Základní text (2)"/>
    <w:basedOn w:val="Normal"/>
    <w:link w:val="CharStyle19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Microsoft Word - Dohoda o narovnání_final</dc:title>
  <dc:subject/>
  <dc:creator>roman.turek</dc:creator>
  <cp:keywords/>
</cp:coreProperties>
</file>