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59D2F3" w14:textId="77777777" w:rsidR="00862698" w:rsidRDefault="0046514B">
      <w:pPr>
        <w:pStyle w:val="page-of-documentp"/>
        <w:spacing w:before="1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0DAB37BD" wp14:editId="7C85FF7C">
            <wp:extent cx="2867025" cy="257175"/>
            <wp:effectExtent l="0" t="0" r="0" b="0"/>
            <wp:docPr id="100002" name="Obrázek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11329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E8008" w14:textId="05DDB92F" w:rsidR="00862698" w:rsidRDefault="0046514B">
      <w:pPr>
        <w:pStyle w:val="page-of-documentp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UCB91000000311008</w:t>
      </w:r>
      <w:r>
        <w:rPr>
          <w:rFonts w:ascii="Arial" w:eastAsia="Arial" w:hAnsi="Arial" w:cs="Arial"/>
          <w:sz w:val="16"/>
          <w:szCs w:val="16"/>
        </w:rPr>
        <w:t>E536939</w:t>
      </w:r>
    </w:p>
    <w:p w14:paraId="52827EE2" w14:textId="77777777" w:rsidR="00862698" w:rsidRDefault="0046514B">
      <w:pPr>
        <w:pStyle w:val="page-of-documenttext-basic"/>
        <w:jc w:val="both"/>
        <w:rPr>
          <w:rFonts w:ascii="Arial" w:eastAsia="Arial" w:hAnsi="Arial" w:cs="Arial"/>
          <w:color w:val="000000"/>
        </w:rPr>
      </w:pPr>
      <w:r>
        <w:rPr>
          <w:rStyle w:val="page-of-documentstrong"/>
          <w:rFonts w:ascii="Arial" w:eastAsia="Arial" w:hAnsi="Arial" w:cs="Arial"/>
          <w:color w:val="000000"/>
          <w:sz w:val="28"/>
          <w:szCs w:val="28"/>
        </w:rPr>
        <w:t>SMLOUVA O BĚŽNÉM ÚČTU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72"/>
      </w:tblGrid>
      <w:tr w:rsidR="00862698" w14:paraId="0CDC8C12" w14:textId="7777777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A84FB" w14:textId="77777777" w:rsidR="00862698" w:rsidRDefault="0046514B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03F63DD3" w14:textId="77777777" w:rsidR="00862698" w:rsidRDefault="0046514B">
      <w:pPr>
        <w:pStyle w:val="page-of-documentp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 xml:space="preserve">mezi UniCredit Bank Czech Republic and Slovakia, a.s., se sídlem Želetavská 1525/1, 140 92 Praha 4, IČ: 64948242, zapsanou v obchodním rejstříku, vedeném Městským soudem v Praze, v oddíle B, vložce </w:t>
      </w:r>
      <w:r>
        <w:rPr>
          <w:rFonts w:ascii="Arial" w:eastAsia="Arial" w:hAnsi="Arial" w:cs="Arial"/>
          <w:sz w:val="18"/>
          <w:szCs w:val="18"/>
        </w:rPr>
        <w:t>3608 (dále jen Banka) a níže uvedeným majitelem účtů (dále též Klient)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801"/>
        <w:gridCol w:w="7971"/>
      </w:tblGrid>
      <w:tr w:rsidR="00862698" w14:paraId="76802C22" w14:textId="77777777"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E6C5F" w14:textId="2615FA38" w:rsidR="00862698" w:rsidRDefault="00862698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</w:p>
        </w:tc>
      </w:tr>
      <w:tr w:rsidR="00862698" w14:paraId="340CB1FD" w14:textId="77777777">
        <w:tblPrEx>
          <w:jc w:val="center"/>
          <w:tblInd w:w="0" w:type="dxa"/>
        </w:tblPrEx>
        <w:trPr>
          <w:jc w:val="center"/>
        </w:trPr>
        <w:tc>
          <w:tcPr>
            <w:tcW w:w="130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040B34D" w14:textId="77777777" w:rsidR="00862698" w:rsidRDefault="0046514B">
            <w:pPr>
              <w:pStyle w:val="page-of-documentp"/>
              <w:spacing w:line="210" w:lineRule="atLeast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Obchodní firma / název dle OR: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2B5FF2" w14:textId="77777777" w:rsidR="00862698" w:rsidRDefault="0046514B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Style w:val="page-of-documentstrong"/>
                <w:rFonts w:ascii="Arial" w:eastAsia="Arial" w:hAnsi="Arial" w:cs="Arial"/>
                <w:sz w:val="18"/>
                <w:szCs w:val="18"/>
              </w:rPr>
              <w:t>Mateřská škola Louny, V Domcích 2427, příspěvková organizace</w:t>
            </w:r>
          </w:p>
        </w:tc>
      </w:tr>
      <w:tr w:rsidR="00862698" w14:paraId="27EC9FE6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5001D" w14:textId="77777777" w:rsidR="00862698" w:rsidRDefault="0046514B">
            <w:pPr>
              <w:pStyle w:val="page-of-documentp"/>
              <w:spacing w:line="210" w:lineRule="atLeast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EB24422" w14:textId="77777777" w:rsidR="00862698" w:rsidRDefault="0046514B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příspěvková organizace</w:t>
            </w:r>
          </w:p>
        </w:tc>
      </w:tr>
      <w:tr w:rsidR="00862698" w14:paraId="30FB7187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F0256" w14:textId="77777777" w:rsidR="00862698" w:rsidRDefault="0046514B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IČO: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9C97788" w14:textId="77777777" w:rsidR="00862698" w:rsidRDefault="0046514B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Style w:val="page-of-documentstrong"/>
                <w:rFonts w:ascii="Arial" w:eastAsia="Arial" w:hAnsi="Arial" w:cs="Arial"/>
                <w:sz w:val="18"/>
                <w:szCs w:val="18"/>
              </w:rPr>
              <w:t>47791101</w:t>
            </w:r>
          </w:p>
        </w:tc>
      </w:tr>
      <w:tr w:rsidR="00862698" w14:paraId="599D060E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F08B5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Společnost je zapsaná v: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23DD83A" w14:textId="77777777" w:rsidR="00862698" w:rsidRDefault="0046514B">
            <w:pPr>
              <w:pStyle w:val="page-of-documentp"/>
              <w:spacing w:line="210" w:lineRule="atLeast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ARES, </w:t>
            </w:r>
            <w:r>
              <w:rPr>
                <w:rFonts w:ascii="Arial" w:eastAsia="Arial" w:hAnsi="Arial" w:cs="Arial"/>
                <w:sz w:val="18"/>
                <w:szCs w:val="18"/>
              </w:rPr>
              <w:t>druh dokumentu Výpis z rejstříku škol</w:t>
            </w:r>
          </w:p>
        </w:tc>
      </w:tr>
      <w:tr w:rsidR="00862698" w14:paraId="1D147ABF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E30E2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Sídlo: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DA63A38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 Domcích 2427, Louny, 44001, Česká republika</w:t>
            </w:r>
          </w:p>
        </w:tc>
      </w:tr>
      <w:tr w:rsidR="00862698" w14:paraId="508CE194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5A35D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449068C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415654089</w:t>
            </w:r>
          </w:p>
        </w:tc>
      </w:tr>
      <w:tr w:rsidR="00862698" w14:paraId="7ED0A778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6D7DC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C83FEBE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msvdomcich@cbox.cz</w:t>
            </w:r>
          </w:p>
        </w:tc>
      </w:tr>
      <w:tr w:rsidR="00862698" w14:paraId="24F7D754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5AEBE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Tuzemec / cizozemec: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5FD6426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tuzemec</w:t>
            </w:r>
          </w:p>
        </w:tc>
      </w:tr>
      <w:tr w:rsidR="00862698" w14:paraId="7C779E36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FE572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Způsob jednání: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1E22A25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obchoduji na vlastní účet</w:t>
            </w:r>
          </w:p>
        </w:tc>
      </w:tr>
      <w:tr w:rsidR="00862698" w14:paraId="707CB757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FD767B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Bankovní poradce: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B6FFB5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Petr Mach</w:t>
            </w:r>
          </w:p>
        </w:tc>
      </w:tr>
      <w:tr w:rsidR="00862698" w14:paraId="2DA9C2E7" w14:textId="77777777" w:rsidTr="0046514B"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16343" w14:textId="3F8DAFDA" w:rsidR="00862698" w:rsidRDefault="0046514B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64A6EF48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dále jen „Majitel účtu“ nebo „Klient“.</w:t>
      </w:r>
    </w:p>
    <w:p w14:paraId="7336956A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Banka a Majitel účtu/Klient dále společně jen „smluvní strany“ se dohodli, že Banka zřídí pro Klienta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770"/>
        <w:gridCol w:w="7002"/>
      </w:tblGrid>
      <w:tr w:rsidR="00862698" w14:paraId="285F2DB3" w14:textId="77777777"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EF1CE" w14:textId="77777777" w:rsidR="00862698" w:rsidRDefault="0046514B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862698" w14:paraId="663795DB" w14:textId="77777777">
        <w:tblPrEx>
          <w:jc w:val="center"/>
          <w:tblInd w:w="0" w:type="dxa"/>
        </w:tblPrEx>
        <w:trPr>
          <w:jc w:val="center"/>
        </w:trPr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4219DB1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Číslo účtu: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8AB7F17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  <w:sz w:val="18"/>
                <w:szCs w:val="18"/>
              </w:rPr>
              <w:t>242712</w:t>
            </w:r>
          </w:p>
        </w:tc>
      </w:tr>
      <w:tr w:rsidR="00862698" w14:paraId="366F8A3F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D7CE02D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Kód banky: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3AB11496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  <w:sz w:val="18"/>
                <w:szCs w:val="18"/>
              </w:rPr>
              <w:t>2700</w:t>
            </w:r>
          </w:p>
        </w:tc>
      </w:tr>
      <w:tr w:rsidR="00862698" w14:paraId="3361B737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75EDD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Měna účtu: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F252B" w14:textId="77777777" w:rsidR="00862698" w:rsidRDefault="0046514B">
            <w:pPr>
              <w:pStyle w:val="page-of-documenttext-smaller"/>
              <w:spacing w:line="210" w:lineRule="atLeast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</w:rPr>
              <w:t>CZK</w:t>
            </w:r>
          </w:p>
        </w:tc>
      </w:tr>
      <w:tr w:rsidR="00862698" w14:paraId="28B62BB7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BE9597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Název účtu: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DAF2E" w14:textId="77777777" w:rsidR="00862698" w:rsidRDefault="0046514B">
            <w:pPr>
              <w:pStyle w:val="page-of-documenttext-smaller"/>
              <w:spacing w:line="210" w:lineRule="atLeast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FKSP</w:t>
            </w:r>
          </w:p>
        </w:tc>
      </w:tr>
      <w:tr w:rsidR="00862698" w14:paraId="54D3C48B" w14:textId="77777777">
        <w:tblPrEx>
          <w:jc w:val="center"/>
          <w:tblInd w:w="0" w:type="dxa"/>
        </w:tblPrEx>
        <w:trPr>
          <w:jc w:val="center"/>
        </w:trPr>
        <w:tc>
          <w:tcPr>
            <w:tcW w:w="1750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BCACB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Způsob předávání výpisů: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FC4F5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elektronicky prostřednictvím přímého bankovnictví</w:t>
            </w:r>
          </w:p>
        </w:tc>
      </w:tr>
      <w:tr w:rsidR="00862698" w14:paraId="40EF9302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7E4A8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Frekvence vyhotovování výpisů: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BEAE8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měsíční</w:t>
            </w:r>
          </w:p>
        </w:tc>
      </w:tr>
      <w:tr w:rsidR="00862698" w14:paraId="7C55C0B8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78D91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Jazyk výpisů z účtu: 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EC558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česky</w:t>
            </w:r>
          </w:p>
        </w:tc>
      </w:tr>
      <w:tr w:rsidR="00862698" w14:paraId="6487CA01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F4783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Způsob předávání ostatní korespondence: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71906" w14:textId="77777777" w:rsidR="00862698" w:rsidRDefault="0046514B">
            <w:pPr>
              <w:pStyle w:val="page-of-documentp"/>
              <w:spacing w:line="210" w:lineRule="atLeas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poštou</w:t>
            </w:r>
          </w:p>
        </w:tc>
      </w:tr>
      <w:tr w:rsidR="00862698" w14:paraId="74C72D0A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485D7100" w14:textId="77777777" w:rsidR="00862698" w:rsidRDefault="00862698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43C4ED0F" w14:textId="77777777" w:rsidR="00862698" w:rsidRDefault="00862698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862698" w14:paraId="417B18DA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1817DB9C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Korespondenční adresa: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650B6A1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shodná s adresou sídla</w:t>
            </w:r>
          </w:p>
        </w:tc>
      </w:tr>
      <w:tr w:rsidR="00862698" w14:paraId="5CE886A9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2A753F49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6F09900F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  <w:tr w:rsidR="00862698" w14:paraId="3A15DEFD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5F82DAEF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Banka si vyhrazuje právo v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odůvodněných případech po předchozím písemném oznámení klientovi změnit číslo účtu.</w:t>
            </w:r>
          </w:p>
        </w:tc>
      </w:tr>
      <w:tr w:rsidR="00862698" w14:paraId="644522F6" w14:textId="77777777">
        <w:tblPrEx>
          <w:jc w:val="center"/>
          <w:tblInd w:w="0" w:type="dxa"/>
        </w:tblPrEx>
        <w:trPr>
          <w:jc w:val="center"/>
        </w:trPr>
        <w:tc>
          <w:tcPr>
            <w:tcW w:w="0" w:type="auto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418536B" w14:textId="77777777" w:rsidR="00862698" w:rsidRDefault="0046514B">
            <w:pPr>
              <w:spacing w:line="210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Banka si vyhrazuje právo odeslat na výše uvedenou adresu neodkladná sdělení.</w:t>
            </w:r>
          </w:p>
        </w:tc>
      </w:tr>
    </w:tbl>
    <w:p w14:paraId="4B5B1135" w14:textId="77777777" w:rsidR="00862698" w:rsidRDefault="0046514B">
      <w:pPr>
        <w:pStyle w:val="page-of-documenttext-small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7FAFEFEC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Kreditní zůstatek běžného účtu se úročí aktuální úrokovou sazbou jednotýdenní PRIBOR - 2,00</w:t>
      </w:r>
      <w:r>
        <w:rPr>
          <w:rFonts w:ascii="Arial" w:eastAsia="Arial" w:hAnsi="Arial" w:cs="Arial"/>
          <w:color w:val="000000"/>
        </w:rPr>
        <w:t xml:space="preserve"> % p.a.</w:t>
      </w:r>
    </w:p>
    <w:p w14:paraId="1B94307D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1F14F9B6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Banka je oprávněna klientovi písemně nebo prostřednictvím produktu přímého bankovnictví navrhnout změnu úročení kreditního zůstatku účtu a to nejpozději jeden měsíc před zamýšleným datem účinnosti.  Klient je oprávněn navrhovanou změnu nejpozději</w:t>
      </w:r>
      <w:r>
        <w:rPr>
          <w:rFonts w:ascii="Arial" w:eastAsia="Arial" w:hAnsi="Arial" w:cs="Arial"/>
          <w:color w:val="000000"/>
        </w:rPr>
        <w:t xml:space="preserve"> jeden týden před její účinností písemně odmítnout. V takovém případě tato dohoda o výši úročení dnem odmítnutí zaniká a úročení se řídí dle Produktových obchodních podmínek pro účty a platební styk UniCredit Bank Czech Republic and Slovakia, a.s.</w:t>
      </w:r>
    </w:p>
    <w:p w14:paraId="02BC8DD8" w14:textId="77777777" w:rsidR="00862698" w:rsidRDefault="0046514B">
      <w:pPr>
        <w:pStyle w:val="page-of-documenttext-small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169A38F7" w14:textId="77777777" w:rsidR="00862698" w:rsidRDefault="0046514B">
      <w:pPr>
        <w:pStyle w:val="page-of-documenttext-small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Jiná u</w:t>
      </w:r>
      <w:r>
        <w:rPr>
          <w:rFonts w:ascii="Arial" w:eastAsia="Arial" w:hAnsi="Arial" w:cs="Arial"/>
          <w:color w:val="000000"/>
        </w:rPr>
        <w:t>jednání: - - -</w:t>
      </w:r>
    </w:p>
    <w:p w14:paraId="358816A1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0D8E020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Běžným účtem pro právnické osoby se rozumí účet ve smyslu ustanovení § 2662 a násl. občanského zákoníku, který slouží k podnikatelským účelům.</w:t>
      </w:r>
    </w:p>
    <w:p w14:paraId="5B1B09F5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3759F025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Vklady vedené Bankou jsou pojištěny u Garančního systému finančního trhu (Fondu pojištění vkladů) ve smyslu příslušných ustanovení zákona č. 21/1992 Sb. o bankách, v platném znění. Výjimky u určitých vkladů jsou uvedeny na internetových stránkách Garančníh</w:t>
      </w:r>
      <w:r>
        <w:rPr>
          <w:rFonts w:ascii="Arial" w:eastAsia="Arial" w:hAnsi="Arial" w:cs="Arial"/>
          <w:color w:val="000000"/>
        </w:rPr>
        <w:t xml:space="preserve">o systému finančního trhu. O tom, zda jsou určité produkty pojištěny, či nikoliv, Banka informuje klienty na požádání. Pokud vklad podléhá ochraně poskytované systémem pojištění pohledávek z vkladů, Banka tuto skutečnost potvrdí také na výpisu z účtu nebo </w:t>
      </w:r>
      <w:r>
        <w:rPr>
          <w:rFonts w:ascii="Arial" w:eastAsia="Arial" w:hAnsi="Arial" w:cs="Arial"/>
          <w:color w:val="000000"/>
        </w:rPr>
        <w:t>v obdobném dokumentu. Nebude-li vklad k dispozici z důvodu neschopnosti Banky dostát svým finančním závazkům, vyplatí Garanční systém finančního trhu (Fond pojištění vkladů) klientům náhradu za vklady do výše stanoveného limitu. Výplata náhrad se provede v</w:t>
      </w:r>
      <w:r>
        <w:rPr>
          <w:rFonts w:ascii="Arial" w:eastAsia="Arial" w:hAnsi="Arial" w:cs="Arial"/>
          <w:color w:val="000000"/>
        </w:rPr>
        <w:t xml:space="preserve"> měně státu, v němž se nachází daný účet, a činí nejvýše částku odpovídající 100.000 EUR na klienta. V případě účtů s více spolumajiteli se podíl každého klienta započítává do jeho limitu 100.000 EUR samostatně. V některých případech stanovených zákonem o </w:t>
      </w:r>
      <w:r>
        <w:rPr>
          <w:rFonts w:ascii="Arial" w:eastAsia="Arial" w:hAnsi="Arial" w:cs="Arial"/>
          <w:color w:val="000000"/>
        </w:rPr>
        <w:t>bankách jsou vklady chráněny i nad hranicí částky odpovídající 100.000 EUR, ale nejvýše do částky odpovídající 200 000 EUR. Výplata náhrady vkladů do limitu pojištění bude zahájena nejpozději do 7 pracovních dní od rozhodného dne, tj. dne, kdy Česká národn</w:t>
      </w:r>
      <w:r>
        <w:rPr>
          <w:rFonts w:ascii="Arial" w:eastAsia="Arial" w:hAnsi="Arial" w:cs="Arial"/>
          <w:color w:val="000000"/>
        </w:rPr>
        <w:t xml:space="preserve">í banka vydá oznámení o neschopnosti Banky dostát závazkům vůči oprávněným osobám za zákonných a smluvních podmínek. Další informace lze získat na </w:t>
      </w:r>
      <w:hyperlink r:id="rId7" w:tgtFrame="_blank" w:history="1">
        <w:r>
          <w:rPr>
            <w:rStyle w:val="page-of-documentlink"/>
            <w:rFonts w:ascii="Arial" w:eastAsia="Arial" w:hAnsi="Arial" w:cs="Arial"/>
            <w:color w:val="0000EE"/>
            <w:u w:val="single" w:color="0000EE"/>
          </w:rPr>
          <w:t>www.fpv.cz</w:t>
        </w:r>
      </w:hyperlink>
      <w:r>
        <w:rPr>
          <w:rFonts w:ascii="Arial" w:eastAsia="Arial" w:hAnsi="Arial" w:cs="Arial"/>
          <w:color w:val="000000"/>
        </w:rPr>
        <w:t xml:space="preserve"> nebo přímo u Garančního systému finančního trhu (Fo</w:t>
      </w:r>
      <w:r>
        <w:rPr>
          <w:rFonts w:ascii="Arial" w:eastAsia="Arial" w:hAnsi="Arial" w:cs="Arial"/>
          <w:color w:val="000000"/>
        </w:rPr>
        <w:t>ndu pojištění vkladů), Týn 639, 110 00 Praha 1.</w:t>
      </w:r>
    </w:p>
    <w:p w14:paraId="105E83C0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 </w:t>
      </w:r>
    </w:p>
    <w:p w14:paraId="14F11B18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0A91FFE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Nedílnou součástí této smlouvy jsou Obecné obchodní podmínky UniCredit Bank Czech Republic and Slovakia, a.s. (dále jen „Obecné obchodní podmínky“), Produktové obchodní podmínky pro účty a </w:t>
      </w:r>
      <w:r>
        <w:rPr>
          <w:rFonts w:ascii="Arial" w:eastAsia="Arial" w:hAnsi="Arial" w:cs="Arial"/>
          <w:color w:val="000000"/>
        </w:rPr>
        <w:t>platební styk UniCredit Bank Czech Republic and Slovakia, a.s. (dále jen „Produktové podmínky pro účty a platební styk“) a Sazebník odměn za poskytování bankovních služeb UniCredit Bank Czech Republic and Slovakia, a.s. (dále jen „Sazebník“).</w:t>
      </w:r>
    </w:p>
    <w:p w14:paraId="733D168E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9974A24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</w:t>
      </w:r>
      <w:r>
        <w:rPr>
          <w:rFonts w:ascii="Arial" w:eastAsia="Arial" w:hAnsi="Arial" w:cs="Arial"/>
          <w:color w:val="000000"/>
        </w:rPr>
        <w:t>u si je tedy vědom, že vztahy vzniklé z této smlouvy nebo v souvislosti s ní, které nejsou touto smlouvou výslovně upraveny, se řídí Obecnými obchodními podmínkami a Produktovými podmínkami pro účty a platební styk, a že výše odměn, poplatků a dalších plat</w:t>
      </w:r>
      <w:r>
        <w:rPr>
          <w:rFonts w:ascii="Arial" w:eastAsia="Arial" w:hAnsi="Arial" w:cs="Arial"/>
          <w:color w:val="000000"/>
        </w:rPr>
        <w:t>eb, které je Majitel účtu povinen hradit v souvislosti s touto smlouvou, je stanovena v Sazebníku, není-li dohodnuto jinak.</w:t>
      </w:r>
    </w:p>
    <w:p w14:paraId="0C03EC2C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D880417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potvrzuje, že obdržel Obecné obchodní podmínky, Produktové podmínky pro účty a platební styk a Sazebník, vše platné k</w:t>
      </w:r>
      <w:r>
        <w:rPr>
          <w:rFonts w:ascii="Arial" w:eastAsia="Arial" w:hAnsi="Arial" w:cs="Arial"/>
          <w:color w:val="000000"/>
        </w:rPr>
        <w:t>e dni podpisu smlouvy, a že s nimi souhlasí, zavazuje se je dodržovat a případně zabezpečit jejich dodržování jím zmocněnými osobami.</w:t>
      </w:r>
    </w:p>
    <w:p w14:paraId="3611B15C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5FCDE971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výslovně přijímá oprávnění Banky Obecné obchodní podmínky i Sazebník jednostranně měnit za podmínek a postu</w:t>
      </w:r>
      <w:r>
        <w:rPr>
          <w:rFonts w:ascii="Arial" w:eastAsia="Arial" w:hAnsi="Arial" w:cs="Arial"/>
          <w:color w:val="000000"/>
        </w:rPr>
        <w:t xml:space="preserve">pem stanoveným pro tento účel v článcích 3 a 8.3 Obecných obchodních podmínek; Majitel účtu současně výslovně přijímá úpravu obsaženou v následujících článcích Obecných obchodních podmínek: 1.1 - vztahy podřízené Obecným obchodním podmínkám, 2.2 - omezení </w:t>
      </w:r>
      <w:r>
        <w:rPr>
          <w:rFonts w:ascii="Arial" w:eastAsia="Arial" w:hAnsi="Arial" w:cs="Arial"/>
          <w:color w:val="000000"/>
        </w:rPr>
        <w:t xml:space="preserve">rozsahu poskytovaných služeb, 6.3 - oprávnění Banky odmítnout požadavek klienta, 7.2 - oprávnění Banky postoupit pohledávku nebo smlouvu na třetí osobu), 7.3 - zákaz postoupení klientem, 7.5 - výpověď smlouvy a její důsledky, 7.6 - odstoupení od smlouvy a </w:t>
      </w:r>
      <w:r>
        <w:rPr>
          <w:rFonts w:ascii="Arial" w:eastAsia="Arial" w:hAnsi="Arial" w:cs="Arial"/>
          <w:color w:val="000000"/>
        </w:rPr>
        <w:t>jeho důsledky, 9 - Úhrada pohledávek Banky, započtení a promlčení, 12.1 - omezení odpovědnosti Banky, 12.10 - omezení provozu Banky, 13.6 - doručení písemné zásilky a 14 - Rozhodné právo, soudní místo a finanční arbitr.</w:t>
      </w:r>
    </w:p>
    <w:p w14:paraId="798177C7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76DD046D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výslovně přijímá oprá</w:t>
      </w:r>
      <w:r>
        <w:rPr>
          <w:rFonts w:ascii="Arial" w:eastAsia="Arial" w:hAnsi="Arial" w:cs="Arial"/>
          <w:color w:val="000000"/>
        </w:rPr>
        <w:t>vnění Banky Produktové podmínky pro účty a platební styk i podmínky této smlouvu jednostranně měnit za podmínek a postupem stanoveným pro tento účel v článcích 2.1 a 2.2 Produktových podmínek pro účty a platební styk; Majitel účtu současně výslovně přijímá</w:t>
      </w:r>
      <w:r>
        <w:rPr>
          <w:rFonts w:ascii="Arial" w:eastAsia="Arial" w:hAnsi="Arial" w:cs="Arial"/>
          <w:color w:val="000000"/>
        </w:rPr>
        <w:t xml:space="preserve"> úpravu obsaženou v následujících článcích Produktových podmínek pro účty a platební styk: 3.10 – změna čísla účtu Bankou, 7.6 –stanovení výše úrokové sazby, 8.1 – odepisování peněžních prostředků bez příkazu klienta, 8.4 – ověření příkazu, 9.2 – nedoručit</w:t>
      </w:r>
      <w:r>
        <w:rPr>
          <w:rFonts w:ascii="Arial" w:eastAsia="Arial" w:hAnsi="Arial" w:cs="Arial"/>
          <w:color w:val="000000"/>
        </w:rPr>
        <w:t>elná korespondence, 13. 4 – lhůty platebního styku, 13.11 – provádění platebních příkazů, 13.12 – pořadí plateb při nedostatku peněžních prostředků, 15.2 – omezení odpovědnosti Banky za provedení příkazu, 16.9 – informování o nesprávné konfirmaci a 16.14 –</w:t>
      </w:r>
      <w:r>
        <w:rPr>
          <w:rFonts w:ascii="Arial" w:eastAsia="Arial" w:hAnsi="Arial" w:cs="Arial"/>
          <w:color w:val="000000"/>
        </w:rPr>
        <w:t xml:space="preserve"> opakování termínovaného vkladu.</w:t>
      </w:r>
    </w:p>
    <w:p w14:paraId="17FFC29C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49D99BA2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Majitel účtu se zavazuje zaplatit Bance za vedení běžného účtu a za každou další službu poskytnutou mu Bankou v souvislosti s touto smlouvou bezodkladně po jejím poskytnutí odměnu, poplatek nebo jinou platbu stanovenou pr</w:t>
      </w:r>
      <w:r>
        <w:rPr>
          <w:rFonts w:ascii="Arial" w:eastAsia="Arial" w:hAnsi="Arial" w:cs="Arial"/>
          <w:color w:val="000000"/>
        </w:rPr>
        <w:t>o takovou službu v Sazebníku, není-li dohodnuto jinak.</w:t>
      </w:r>
    </w:p>
    <w:p w14:paraId="3C348233" w14:textId="77777777" w:rsidR="00862698" w:rsidRDefault="0046514B">
      <w:pPr>
        <w:pStyle w:val="page-of-documentp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 </w:t>
      </w:r>
    </w:p>
    <w:p w14:paraId="4573AB07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Změny identifikačních údajů týkajících se Majitele účtu uvedených v záhlaví smlouvy nebo změny identifikačních údajů zmocněných osob uvedených na podpisovém vzoru, Majitel účtu/zmocněné osoby oznamuj</w:t>
      </w:r>
      <w:r>
        <w:rPr>
          <w:rFonts w:ascii="Arial" w:eastAsia="Arial" w:hAnsi="Arial" w:cs="Arial"/>
          <w:color w:val="000000"/>
        </w:rPr>
        <w:t>í Bance písemně prostřednictvím stanoveného formuláře.</w:t>
      </w:r>
    </w:p>
    <w:p w14:paraId="017516D8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3FA1425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Jiné osoby než osoby uvedené v podpisovém vzoru jsou oprávněny nakládat s peněžními prostředky na účtu jen na základě písemné plné moci udělené jim majitelem účtu.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72"/>
      </w:tblGrid>
      <w:tr w:rsidR="00862698" w14:paraId="51E5F141" w14:textId="7777777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38159" w14:textId="77777777" w:rsidR="00862698" w:rsidRDefault="0046514B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7D6534D2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Smlouva je sepsána ve dvou </w:t>
      </w:r>
      <w:r>
        <w:rPr>
          <w:rFonts w:ascii="Arial" w:eastAsia="Arial" w:hAnsi="Arial" w:cs="Arial"/>
          <w:color w:val="000000"/>
        </w:rPr>
        <w:t>vyhotoveních v českém jazyce; každá smluvní strana obdrží po jednom vyhotovení smlouvy opatřeném podpisy obou smluvních stran.</w:t>
      </w:r>
    </w:p>
    <w:p w14:paraId="2EA85B85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p w14:paraId="0BCBC148" w14:textId="77777777" w:rsidR="00862698" w:rsidRDefault="0046514B">
      <w:pPr>
        <w:pStyle w:val="page-of-documenttext-smaller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Smlouva nabývá platnosti a účinnosti dnem jejího podpisu poslední ze smluvních stran.</w:t>
      </w:r>
    </w:p>
    <w:tbl>
      <w:tblPr>
        <w:tblStyle w:val="page-of-documenttable"/>
        <w:tblW w:w="5000" w:type="pct"/>
        <w:tblInd w:w="14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772"/>
      </w:tblGrid>
      <w:tr w:rsidR="00862698" w14:paraId="1D403B35" w14:textId="77777777">
        <w:tc>
          <w:tcPr>
            <w:tcW w:w="0" w:type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290F8" w14:textId="77777777" w:rsidR="00862698" w:rsidRDefault="0046514B">
            <w:pPr>
              <w:spacing w:line="75" w:lineRule="atLeas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</w:tc>
      </w:tr>
    </w:tbl>
    <w:p w14:paraId="442C342C" w14:textId="77777777" w:rsidR="00862698" w:rsidRDefault="00862698">
      <w:pPr>
        <w:rPr>
          <w:vanish/>
        </w:rPr>
      </w:pPr>
    </w:p>
    <w:tbl>
      <w:tblPr>
        <w:tblStyle w:val="page-of-documenttable"/>
        <w:tblW w:w="5000" w:type="pct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5E0" w:firstRow="1" w:lastRow="1" w:firstColumn="1" w:lastColumn="1" w:noHBand="0" w:noVBand="1"/>
      </w:tblPr>
      <w:tblGrid>
        <w:gridCol w:w="2151"/>
        <w:gridCol w:w="4195"/>
        <w:gridCol w:w="4410"/>
      </w:tblGrid>
      <w:tr w:rsidR="00862698" w14:paraId="2207B6D3" w14:textId="77777777">
        <w:trPr>
          <w:trHeight w:val="735"/>
          <w:jc w:val="center"/>
        </w:trPr>
        <w:tc>
          <w:tcPr>
            <w:tcW w:w="1000" w:type="pct"/>
            <w:tcBorders>
              <w:bottom w:val="inset" w:sz="6" w:space="0" w:color="808080"/>
              <w:right w:val="inset" w:sz="6" w:space="0" w:color="808080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6EDA669B" w14:textId="77777777" w:rsidR="00862698" w:rsidRDefault="0046514B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Účet zřízen ke dni</w:t>
            </w:r>
          </w:p>
        </w:tc>
        <w:tc>
          <w:tcPr>
            <w:tcW w:w="1950" w:type="pct"/>
            <w:vMerge w:val="restart"/>
            <w:tcBorders>
              <w:left w:val="inset" w:sz="6" w:space="0" w:color="808080"/>
              <w:right w:val="inset" w:sz="6" w:space="0" w:color="808080"/>
            </w:tcBorders>
            <w:shd w:val="clear" w:color="auto" w:fill="FFFFE0"/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4B9F345B" w14:textId="77777777" w:rsidR="00862698" w:rsidRDefault="0046514B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Style w:val="page-of-documentstrong"/>
                <w:rFonts w:ascii="Arial" w:eastAsia="Arial" w:hAnsi="Arial" w:cs="Arial"/>
                <w:color w:val="000000"/>
              </w:rPr>
              <w:t>Jméno</w:t>
            </w:r>
            <w:r>
              <w:rPr>
                <w:rFonts w:ascii="Arial" w:eastAsia="Arial" w:hAnsi="Arial" w:cs="Arial"/>
                <w:color w:val="000000"/>
              </w:rPr>
              <w:t> </w:t>
            </w:r>
            <w:r>
              <w:rPr>
                <w:rStyle w:val="page-of-documentstrong"/>
                <w:rFonts w:ascii="Arial" w:eastAsia="Arial" w:hAnsi="Arial" w:cs="Arial"/>
                <w:color w:val="000000"/>
              </w:rPr>
              <w:t>a podpis maj</w:t>
            </w:r>
            <w:r>
              <w:rPr>
                <w:rStyle w:val="page-of-documentstrong"/>
                <w:rFonts w:ascii="Arial" w:eastAsia="Arial" w:hAnsi="Arial" w:cs="Arial"/>
                <w:color w:val="000000"/>
              </w:rPr>
              <w:t>itele účtu</w:t>
            </w:r>
          </w:p>
          <w:p w14:paraId="35A85E33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Mateřská škola Louny, V Domcích 2427, příspěvková organizace</w:t>
            </w:r>
          </w:p>
          <w:p w14:paraId="1732ADE3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0E458B66" w14:textId="77777777" w:rsidR="00862698" w:rsidRDefault="0046514B">
            <w:pPr>
              <w:pStyle w:val="page-of-documentp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Mgr. Lenka Fárová </w:t>
            </w:r>
          </w:p>
          <w:p w14:paraId="1D0188CC" w14:textId="77777777" w:rsidR="00862698" w:rsidRDefault="0046514B">
            <w:pPr>
              <w:pStyle w:val="page-of-documentp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2050" w:type="pct"/>
            <w:vMerge w:val="restart"/>
            <w:tcBorders>
              <w:left w:val="inset" w:sz="6" w:space="0" w:color="808080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5EE9AB30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Podpisy odpovědných osob</w:t>
            </w:r>
          </w:p>
          <w:p w14:paraId="4559294D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UniCredit Bank Czech Republic and Slovakia, a.s.</w:t>
            </w:r>
          </w:p>
          <w:p w14:paraId="08925926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7172C90A" w14:textId="77777777" w:rsidR="00862698" w:rsidRDefault="0046514B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Petr Mach</w:t>
            </w:r>
          </w:p>
          <w:p w14:paraId="5B977459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C5773F0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Radka Alfery</w:t>
            </w:r>
          </w:p>
        </w:tc>
      </w:tr>
      <w:tr w:rsidR="00862698" w14:paraId="540A1069" w14:textId="77777777">
        <w:trPr>
          <w:trHeight w:val="1275"/>
          <w:jc w:val="center"/>
        </w:trPr>
        <w:tc>
          <w:tcPr>
            <w:tcW w:w="0" w:type="auto"/>
            <w:tcBorders>
              <w:top w:val="inset" w:sz="6" w:space="0" w:color="808080"/>
              <w:right w:val="inset" w:sz="6" w:space="0" w:color="808080"/>
            </w:tcBorders>
            <w:tcMar>
              <w:top w:w="52" w:type="dxa"/>
              <w:left w:w="52" w:type="dxa"/>
              <w:bottom w:w="52" w:type="dxa"/>
              <w:right w:w="52" w:type="dxa"/>
            </w:tcMar>
            <w:hideMark/>
          </w:tcPr>
          <w:p w14:paraId="1CFD8110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Místo, datum podpisu</w:t>
            </w:r>
          </w:p>
          <w:p w14:paraId="444D166F" w14:textId="77777777" w:rsidR="00862698" w:rsidRDefault="0046514B">
            <w:pPr>
              <w:pStyle w:val="page-of-documenttext-smaller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 </w:t>
            </w:r>
          </w:p>
          <w:p w14:paraId="5C626F13" w14:textId="77777777" w:rsidR="00862698" w:rsidRDefault="0046514B">
            <w:pPr>
              <w:pStyle w:val="page-of-documenttext-small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Louny</w:t>
            </w:r>
          </w:p>
        </w:tc>
        <w:tc>
          <w:tcPr>
            <w:tcW w:w="0" w:type="auto"/>
            <w:vMerge/>
            <w:tcBorders>
              <w:left w:val="inset" w:sz="6" w:space="0" w:color="808080"/>
              <w:right w:val="inset" w:sz="6" w:space="0" w:color="808080"/>
            </w:tcBorders>
            <w:vAlign w:val="center"/>
            <w:hideMark/>
          </w:tcPr>
          <w:p w14:paraId="474C0212" w14:textId="77777777" w:rsidR="00862698" w:rsidRDefault="0086269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inset" w:sz="6" w:space="0" w:color="808080"/>
            </w:tcBorders>
            <w:vAlign w:val="center"/>
            <w:hideMark/>
          </w:tcPr>
          <w:p w14:paraId="49F84208" w14:textId="77777777" w:rsidR="00862698" w:rsidRDefault="00862698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1246E61" w14:textId="77777777" w:rsidR="00862698" w:rsidRDefault="00862698">
      <w:pPr>
        <w:pStyle w:val="page-of-documentp"/>
        <w:spacing w:after="120"/>
        <w:rPr>
          <w:rFonts w:ascii="Arial" w:eastAsia="Arial" w:hAnsi="Arial" w:cs="Arial"/>
        </w:rPr>
      </w:pPr>
    </w:p>
    <w:sectPr w:rsidR="008626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567" w:bottom="1247" w:left="567" w:header="22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F676" w14:textId="77777777" w:rsidR="00000000" w:rsidRDefault="0046514B">
      <w:r>
        <w:separator/>
      </w:r>
    </w:p>
  </w:endnote>
  <w:endnote w:type="continuationSeparator" w:id="0">
    <w:p w14:paraId="246F360C" w14:textId="77777777" w:rsidR="00000000" w:rsidRDefault="0046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D8A5" w14:textId="77777777" w:rsidR="0046514B" w:rsidRDefault="004651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age-of-documenttable"/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10772"/>
    </w:tblGrid>
    <w:tr w:rsidR="00862698" w14:paraId="3914D969" w14:textId="77777777">
      <w:trPr>
        <w:jc w:val="center"/>
      </w:trPr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hideMark/>
        </w:tcPr>
        <w:p w14:paraId="6F375716" w14:textId="77777777" w:rsidR="00862698" w:rsidRDefault="0046514B">
          <w:pPr>
            <w:pStyle w:val="page-of-documentp"/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0" distB="0" distL="0" distR="0" wp14:anchorId="2E6DC18A" wp14:editId="43A685CD">
                <wp:extent cx="1819275" cy="257175"/>
                <wp:effectExtent l="0" t="0" r="0" b="0"/>
                <wp:docPr id="548465176" name="Obrázek 548465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474498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62698" w14:paraId="12617092" w14:textId="77777777">
      <w:trPr>
        <w:jc w:val="center"/>
      </w:trPr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hideMark/>
        </w:tcPr>
        <w:tbl>
          <w:tblPr>
            <w:tblStyle w:val="page-of-documenttable"/>
            <w:tblW w:w="5000" w:type="pct"/>
            <w:jc w:val="center"/>
            <w:tblCellMar>
              <w:top w:w="15" w:type="dxa"/>
              <w:left w:w="15" w:type="dxa"/>
              <w:bottom w:w="15" w:type="dxa"/>
              <w:right w:w="15" w:type="dxa"/>
            </w:tblCellMar>
            <w:tblLook w:val="05E0" w:firstRow="1" w:lastRow="1" w:firstColumn="1" w:lastColumn="1" w:noHBand="0" w:noVBand="1"/>
          </w:tblPr>
          <w:tblGrid>
            <w:gridCol w:w="10732"/>
          </w:tblGrid>
          <w:tr w:rsidR="00862698" w14:paraId="4BA2C11F" w14:textId="77777777">
            <w:trPr>
              <w:jc w:val="center"/>
            </w:trPr>
            <w:tc>
              <w:tcPr>
                <w:tcW w:w="0" w:type="auto"/>
                <w:tcMar>
                  <w:top w:w="20" w:type="dxa"/>
                  <w:left w:w="20" w:type="dxa"/>
                  <w:bottom w:w="20" w:type="dxa"/>
                  <w:right w:w="20" w:type="dxa"/>
                </w:tcMar>
                <w:vAlign w:val="center"/>
                <w:hideMark/>
              </w:tcPr>
              <w:p w14:paraId="6FE552B4" w14:textId="77777777" w:rsidR="00862698" w:rsidRDefault="0046514B">
                <w:pPr>
                  <w:spacing w:line="150" w:lineRule="atLeast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>UniCredit Bank Czech Republic and Slovakia, a. s., Sídlo/Registered Office: Želetavská 1525/1, 140 92 Praha 4, Obchodní rejstřík /Commercial Register: Městský soud v Praze, oddíl B, vložka 3608, </w:t>
                </w:r>
                <w:r>
                  <w:rPr>
                    <w:rFonts w:ascii="Arial" w:eastAsia="Arial" w:hAnsi="Arial" w:cs="Arial"/>
                    <w:color w:val="000000"/>
                    <w:sz w:val="14"/>
                    <w:szCs w:val="14"/>
                  </w:rPr>
                  <w:t>IČ/Identification number: 64948242, směrový kód banky/Bank code: 2700, </w:t>
                </w:r>
                <w:hyperlink r:id="rId2" w:history="1">
                  <w:r>
                    <w:rPr>
                      <w:rStyle w:val="page-of-documentlink"/>
                      <w:rFonts w:ascii="Arial" w:eastAsia="Arial" w:hAnsi="Arial" w:cs="Arial"/>
                      <w:color w:val="0000EE"/>
                      <w:sz w:val="14"/>
                      <w:szCs w:val="14"/>
                      <w:u w:val="single" w:color="0000EE"/>
                    </w:rPr>
                    <w:t>www.unicreditbank.cz</w:t>
                  </w:r>
                </w:hyperlink>
              </w:p>
            </w:tc>
          </w:tr>
        </w:tbl>
        <w:p w14:paraId="3DD7944F" w14:textId="77777777" w:rsidR="00862698" w:rsidRDefault="00862698">
          <w:pPr>
            <w:pStyle w:val="page-of-documentp"/>
            <w:rPr>
              <w:rFonts w:ascii="Arial" w:eastAsia="Arial" w:hAnsi="Arial" w:cs="Arial"/>
            </w:rPr>
          </w:pPr>
        </w:p>
      </w:tc>
    </w:tr>
  </w:tbl>
  <w:p w14:paraId="3F284AA9" w14:textId="77777777" w:rsidR="00862698" w:rsidRDefault="00862698">
    <w:pPr>
      <w:rPr>
        <w:rFonts w:ascii="Arial" w:eastAsia="Arial" w:hAnsi="Arial" w:cs="Arial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044B" w14:textId="77777777" w:rsidR="0046514B" w:rsidRDefault="004651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303C" w14:textId="77777777" w:rsidR="00000000" w:rsidRDefault="0046514B">
      <w:r>
        <w:separator/>
      </w:r>
    </w:p>
  </w:footnote>
  <w:footnote w:type="continuationSeparator" w:id="0">
    <w:p w14:paraId="40F8B4D3" w14:textId="77777777" w:rsidR="00000000" w:rsidRDefault="0046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A61C" w14:textId="77777777" w:rsidR="0046514B" w:rsidRDefault="004651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age-of-documenttable"/>
      <w:tblW w:w="5000" w:type="pct"/>
      <w:jc w:val="center"/>
      <w:tblCellMar>
        <w:top w:w="15" w:type="dxa"/>
        <w:left w:w="15" w:type="dxa"/>
        <w:bottom w:w="15" w:type="dxa"/>
        <w:right w:w="15" w:type="dxa"/>
      </w:tblCellMar>
      <w:tblLook w:val="05E0" w:firstRow="1" w:lastRow="1" w:firstColumn="1" w:lastColumn="1" w:noHBand="0" w:noVBand="1"/>
    </w:tblPr>
    <w:tblGrid>
      <w:gridCol w:w="9298"/>
      <w:gridCol w:w="278"/>
      <w:gridCol w:w="1196"/>
    </w:tblGrid>
    <w:tr w:rsidR="00862698" w14:paraId="28993AA3" w14:textId="77777777">
      <w:trPr>
        <w:jc w:val="center"/>
      </w:trPr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vAlign w:val="bottom"/>
          <w:hideMark/>
        </w:tcPr>
        <w:p w14:paraId="175D8233" w14:textId="77777777" w:rsidR="00862698" w:rsidRDefault="0046514B">
          <w:pPr>
            <w:pStyle w:val="page-of-documentp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noProof/>
            </w:rPr>
            <w:drawing>
              <wp:inline distT="0" distB="0" distL="0" distR="0" wp14:anchorId="3EBB62CE" wp14:editId="35CA56B9">
                <wp:extent cx="1905000" cy="247650"/>
                <wp:effectExtent l="0" t="0" r="0" b="0"/>
                <wp:docPr id="1939613374" name="Obrázek 1939613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662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vAlign w:val="bottom"/>
          <w:hideMark/>
        </w:tcPr>
        <w:p w14:paraId="7958A542" w14:textId="77777777" w:rsidR="00862698" w:rsidRDefault="0046514B">
          <w:pPr>
            <w:pStyle w:val="page-of-documenttext-smaller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 </w:t>
          </w:r>
        </w:p>
      </w:tc>
      <w:tc>
        <w:tcPr>
          <w:tcW w:w="0" w:type="auto"/>
          <w:tcMar>
            <w:top w:w="20" w:type="dxa"/>
            <w:left w:w="20" w:type="dxa"/>
            <w:bottom w:w="20" w:type="dxa"/>
            <w:right w:w="20" w:type="dxa"/>
          </w:tcMar>
          <w:vAlign w:val="bottom"/>
          <w:hideMark/>
        </w:tcPr>
        <w:p w14:paraId="58C8C0CC" w14:textId="77777777" w:rsidR="00862698" w:rsidRDefault="0046514B">
          <w:pPr>
            <w:pStyle w:val="page-of-documentp"/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sz w:val="18"/>
              <w:szCs w:val="18"/>
            </w:rPr>
            <w:t>2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/ </w:t>
          </w:r>
          <w:r>
            <w:rPr>
              <w:rFonts w:ascii="Arial" w:eastAsia="Arial" w:hAnsi="Arial" w:cs="Arial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sz w:val="18"/>
              <w:szCs w:val="18"/>
            </w:rPr>
            <w:t>2</w:t>
          </w:r>
          <w:r>
            <w:rPr>
              <w:rFonts w:ascii="Arial" w:eastAsia="Arial" w:hAnsi="Arial" w:cs="Arial"/>
              <w:sz w:val="18"/>
              <w:szCs w:val="18"/>
            </w:rPr>
            <w:fldChar w:fldCharType="end"/>
          </w:r>
        </w:p>
      </w:tc>
    </w:tr>
  </w:tbl>
  <w:p w14:paraId="196B419B" w14:textId="77777777" w:rsidR="00862698" w:rsidRDefault="00862698">
    <w:pPr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4088" w14:textId="77777777" w:rsidR="0046514B" w:rsidRDefault="004651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98"/>
    <w:rsid w:val="0046514B"/>
    <w:rsid w:val="0086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2D6DD"/>
  <w15:docId w15:val="{B41B3FCE-F1C0-4A37-8CD8-0F5E09F1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BCE"/>
    <w:rPr>
      <w:sz w:val="24"/>
      <w:szCs w:val="24"/>
    </w:rPr>
  </w:style>
  <w:style w:type="paragraph" w:styleId="Nadpis1">
    <w:name w:val="heading 1"/>
    <w:basedOn w:val="Normln"/>
    <w:next w:val="Normln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dpis3">
    <w:name w:val="heading 3"/>
    <w:basedOn w:val="Normln"/>
    <w:next w:val="Normln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dpis6">
    <w:name w:val="heading 6"/>
    <w:basedOn w:val="Normln"/>
    <w:next w:val="Normln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ge-of-documentdiv">
    <w:name w:val="page-of-document_div"/>
    <w:basedOn w:val="Normln"/>
  </w:style>
  <w:style w:type="paragraph" w:customStyle="1" w:styleId="page-of-documenttext-basic">
    <w:name w:val="page-of-document_text-basic"/>
    <w:basedOn w:val="Normln"/>
    <w:rPr>
      <w:sz w:val="20"/>
      <w:szCs w:val="20"/>
    </w:rPr>
  </w:style>
  <w:style w:type="paragraph" w:customStyle="1" w:styleId="page-of-documentp">
    <w:name w:val="page-of-document_p"/>
    <w:basedOn w:val="Normln"/>
    <w:pPr>
      <w:jc w:val="both"/>
    </w:pPr>
    <w:rPr>
      <w:color w:val="000000"/>
      <w:sz w:val="20"/>
      <w:szCs w:val="20"/>
    </w:rPr>
  </w:style>
  <w:style w:type="character" w:customStyle="1" w:styleId="page-of-documentstrong">
    <w:name w:val="page-of-document_strong"/>
    <w:basedOn w:val="Standardnpsmoodstavce"/>
    <w:rPr>
      <w:b/>
      <w:bCs/>
    </w:rPr>
  </w:style>
  <w:style w:type="table" w:customStyle="1" w:styleId="page-of-documenttable">
    <w:name w:val="page-of-document_table"/>
    <w:basedOn w:val="Normlntabulka"/>
    <w:tblPr/>
  </w:style>
  <w:style w:type="paragraph" w:customStyle="1" w:styleId="page-of-documenttext-smaller">
    <w:name w:val="page-of-document_text-smaller"/>
    <w:basedOn w:val="Normln"/>
    <w:rPr>
      <w:sz w:val="18"/>
      <w:szCs w:val="18"/>
    </w:rPr>
  </w:style>
  <w:style w:type="character" w:customStyle="1" w:styleId="page-of-documentcolorvariable">
    <w:name w:val="page-of-document_color_variable"/>
    <w:basedOn w:val="Standardnpsmoodstavce"/>
    <w:rPr>
      <w:shd w:val="clear" w:color="auto" w:fill="FFF100"/>
    </w:rPr>
  </w:style>
  <w:style w:type="character" w:customStyle="1" w:styleId="page-of-documentlink">
    <w:name w:val="page-of-document_link"/>
    <w:basedOn w:val="Standardnpsmoodstavce"/>
  </w:style>
  <w:style w:type="paragraph" w:styleId="Zhlav">
    <w:name w:val="header"/>
    <w:basedOn w:val="Normln"/>
    <w:link w:val="ZhlavChar"/>
    <w:uiPriority w:val="99"/>
    <w:unhideWhenUsed/>
    <w:rsid w:val="0046514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51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6514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51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pv.cz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unicreditbank.cz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Alfery Radka (UniCredit CZ&amp;SK)</dc:creator>
  <cp:lastModifiedBy>Alfery Radka (UniCredit CZ&amp;SK)</cp:lastModifiedBy>
  <cp:revision>2</cp:revision>
  <dcterms:created xsi:type="dcterms:W3CDTF">2023-04-04T12:22:00Z</dcterms:created>
  <dcterms:modified xsi:type="dcterms:W3CDTF">2023-04-04T12:22:00Z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2023-04-04T12:16:12Z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37511a37-300e-4162-93c6-ee1121872738</vt:lpwstr>
  </property>
  <property fmtid="{D5CDD505-2E9C-101B-9397-08002B2CF9AE}" pid="8" name="MSIP_Label_29db9e61-aac5-4f6e-805d-ceb8cb9983a1_ContentBits">
    <vt:lpwstr>0</vt:lpwstr>
  </property>
</Properties>
</file>