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76200" distB="1987550" distL="79375" distR="75565" simplePos="0" relativeHeight="12582937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1121410</wp:posOffset>
                </wp:positionV>
                <wp:extent cx="1697990" cy="17799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1779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„objednatel“)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pt;margin-top:88.299999999999997pt;width:133.69999999999999pt;height:140.15000000000001pt;z-index:-125829375;mso-wrap-distance-left:6.25pt;mso-wrap-distance-top:6.pt;mso-wrap-distance-right:5.9500000000000002pt;mso-wrap-distance-bottom:156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„objednatel“)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277110" distB="76200" distL="76200" distR="78740" simplePos="0" relativeHeight="125829380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3322320</wp:posOffset>
                </wp:positionV>
                <wp:extent cx="1697990" cy="14903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1490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„zhotovitel“)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9.75pt;margin-top:261.60000000000002pt;width:133.69999999999999pt;height:117.35000000000001pt;z-index:-125829373;mso-wrap-distance-left:6.pt;mso-wrap-distance-top:179.30000000000001pt;mso-wrap-distance-right:6.2000000000000002pt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„zhotovitel“)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173990" distB="0" distL="114300" distR="114300" simplePos="0" relativeHeight="125829382" behindDoc="0" locked="0" layoutInCell="1" allowOverlap="1">
            <wp:simplePos x="0" y="0"/>
            <wp:positionH relativeFrom="page">
              <wp:posOffset>6149975</wp:posOffset>
            </wp:positionH>
            <wp:positionV relativeFrom="paragraph">
              <wp:posOffset>3926205</wp:posOffset>
            </wp:positionV>
            <wp:extent cx="1268095" cy="67691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6809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3752215</wp:posOffset>
                </wp:positionV>
                <wp:extent cx="755650" cy="21018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6"/>
                                <w:color w:val="99C6D3"/>
                                <w:sz w:val="22"/>
                                <w:szCs w:val="22"/>
                              </w:rPr>
                              <w:t>/ 9 63. /023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6.55000000000001pt;margin-top:295.44999999999999pt;width:59.5pt;height:16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6"/>
                          <w:color w:val="99C6D3"/>
                          <w:sz w:val="22"/>
                          <w:szCs w:val="22"/>
                        </w:rPr>
                        <w:t>/ 9 63. /023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9"/>
        </w:rPr>
        <w:t>2023002215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rStyle w:val="CharStyle3"/>
          <w:b/>
          <w:bCs/>
        </w:rPr>
        <w:t>SMLOUVA O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center"/>
      </w:pPr>
      <w:r>
        <w:rPr>
          <w:rStyle w:val="CharStyle3"/>
        </w:rPr>
        <w:t>podle ust. § 2586 a násl. občanského zákoníku, uzavřená mezi</w:t>
        <w:br/>
        <w:t>níže uvedenými smluvními stranami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spacing w:val="9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pacing w:val="2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</w:t>
      </w:r>
      <w:r>
        <w:rPr>
          <w:rStyle w:val="CharStyle3"/>
          <w:spacing w:val="3"/>
          <w:shd w:val="clear" w:color="auto" w:fill="000000"/>
        </w:rPr>
        <w:t>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..</w:t>
      </w:r>
      <w:r>
        <w:rPr>
          <w:rStyle w:val="CharStyle3"/>
          <w:spacing w:val="9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pacing w:val="9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6"/>
          <w:shd w:val="clear" w:color="auto" w:fill="000000"/>
        </w:rPr>
        <w:t>....</w:t>
      </w:r>
      <w:r>
        <w:rPr>
          <w:rStyle w:val="CharStyle3"/>
          <w:spacing w:val="7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0"/>
          <w:shd w:val="clear" w:color="auto" w:fill="000000"/>
        </w:rPr>
        <w:t>..</w:t>
      </w:r>
      <w:r>
        <w:rPr>
          <w:rStyle w:val="CharStyle3"/>
          <w:spacing w:val="11"/>
          <w:shd w:val="clear" w:color="auto" w:fill="000000"/>
        </w:rPr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both"/>
      </w:pPr>
      <w:r>
        <w:rPr>
          <w:rStyle w:val="CharStyle3"/>
        </w:rPr>
        <w:t>MONETA Money Bank, a.s.,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Kelcom International Třebíč,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Hrotovická 160, 674 01 Třebíč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Oldřich Podlešák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spacing w:val="1"/>
          <w:shd w:val="clear" w:color="auto" w:fill="000000"/>
        </w:rPr>
        <w:t>.......</w:t>
      </w:r>
      <w:r>
        <w:rPr>
          <w:rStyle w:val="CharStyle3"/>
          <w:spacing w:val="2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</w:t>
      </w:r>
      <w:r>
        <w:rPr>
          <w:rStyle w:val="CharStyle3"/>
          <w:spacing w:val="3"/>
          <w:shd w:val="clear" w:color="auto" w:fill="000000"/>
        </w:rPr>
        <w:t>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43371876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CZ 433718766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0" w:right="0" w:firstLine="0"/>
        <w:jc w:val="both"/>
      </w:pPr>
      <w:r>
        <w:rPr>
          <w:rStyle w:val="CharStyle3"/>
        </w:rPr>
        <w:t>Krajský soud v Brně sp. Zn. C C 4642 111401288/0300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Zhotovitel se zavazuje, že pro objednatele provede dílo, spočívající v provádění pravidelných preventivních kontrol elektronického zabezpečovacího systému (dále jen „EZS“) zadavatele a to způsobem a v rozsahu dle přílohy č. 1 této smlouvy, která je její nedílnou součástí, a dle průběžných pokynů objednatele.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Zhotovitel se zavazuje plnit svůj závazek podle čl. 1 této smlouvy ve lhůtách dle přílohy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Závazek podle čl. 1 této smlouvy se bude považovat za splněný v případě každé jednotlivé kontroly po dokončení všech prací, spojených s touto kontrolou, předáním a převzetím díla formou písemného předávacího protokolu, podepsaného oběma stranami. Objednatel přitom není povinen potvrdit zhotoviteli předávací protokol podle tohoto článku této smlouvy, zjistí-li se na předávaném díle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Místem splnění závazku zhotovitele k provedení díla se rozumí výjezdové základny objednatele dle přílohy č. 1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Zhotovitel se zavazuje postupovat při provádění díla podle čl. 1 této smlouvy dle příslušných právních předpisů, technických norem a dle průběžných pokynů objednatele. Při provádění díla se pak zhotovitel zavazuje postupovat tak, aby nebyl narušen provoz zdravotnického zařízení objednatele.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Pro případ prodlení zhotovitele s plněním jeho závazků podle této smlouvy ve lhůtách podle čl. 2 této smlouvy se zhotovitel zavazuje platit objednateli smluvní pokutu ve výši 1 000,- Kč za každý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 xml:space="preserve">Objednatel se zavazuje zaplatit zhotoviteli za dílo podle čl. 1 této smlouvy cenu díla ve výši dle přílohy č. 1 za jednu provedenou kontrolu. Součástí této ceny jsou veškeré náklady zhotovitele, spojené s plněním závazku zhotovitele podle čl. 1 této smlouvy v místě splnění závazku zhotovitele podle čl. 4 této smlouvy, včetně cestovních nákladů </w:t>
      </w:r>
      <w:r>
        <w:rPr>
          <w:rStyle w:val="CharStyle3"/>
          <w:b/>
          <w:bCs/>
          <w:i/>
          <w:iCs/>
        </w:rPr>
        <w:t>a</w:t>
      </w:r>
      <w:r>
        <w:rPr>
          <w:rStyle w:val="CharStyle3"/>
        </w:rPr>
        <w:t xml:space="preserve"> daně z přidané hodnoty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 xml:space="preserve">Cena díla podle čl. 7 této smlouvy je splatná vždy po splnění závazku zhotovitele k provedení díla ve Ihůtě do 30 dnů od předložení jejího písemného vyúčtování (faktury - daňového dokladu) objednateli. Součástí faktury/daňového dokladu budou jako přílohy veškeré servisní protokoly. Na faktuře bude mimo jiné uvedeno číslo veřejné zakázky: </w:t>
      </w:r>
      <w:r>
        <w:rPr>
          <w:rStyle w:val="CharStyle3"/>
          <w:b/>
          <w:bCs/>
        </w:rPr>
        <w:t xml:space="preserve">P23V00000774. </w:t>
      </w:r>
      <w:r>
        <w:rPr>
          <w:rStyle w:val="CharStyle3"/>
        </w:rPr>
        <w:t>Nebude- 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Pro případ prodlení s úhradou ceny díla ve Ihůtě podle čl. 8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Zhotovitel odpovídá objednateli za to, že dílo podle čl. 1 této smlouvy bude odpovídat tuzemským právním předpisům, technickým, hygienickým a jiným normám, a že bude mít ty vlastnosti, které jsou u děl tohoto druhu obvyklé, a to po celou dobu, po kterou to bude mít pro objednatele ekonomický, právní či jiný obdobný význam.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Zhotovitel se zavazuje rozhodovat o písemných reklamacích objednatele v období po dokončení díla písemně ve Ihůtě do 48 hodin od jejich doručení, a ve stejné Ihůtě provést odstranění vad z oprávněných reklamací,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Neprovede-li zhotovitel odstranění vady ve Ihůtě podle čl. 11 této smlouvy je objednatel oprávněn účtovat zhotoviteli smluvní pokutu ve výši 500,- Kč za každý započatý den prodlení a navíc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Není-li touto smlouvou ujednáno jinak, řídí se vzájemný právní vztah mezi zhotovitelem a objednatelem ust. § 2586 až 2622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Tuto smlouvu lze změnit nebo zrušit pouze jinou písemnou dohodu obou smluvních stran. Tuto smlouvu lze také ze strany objednatele vypovědět písemnou výpovědí s tříměsíční výpovědní lhůtou, která počne běžet prvním dnem měsíce následujícího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celém jejím obsahu jak je obsažen v jejích článcích 1 až 19.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objednatel.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Tato smlouva nabývá účinnosti dnem jejího uveřejnění v registru smluv dle čl. 16 a uzavírá se na dobu určitou, a to na dobu jednoho roku od její účinnosti.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7" w:lineRule="auto"/>
        <w:ind w:left="420" w:right="0" w:hanging="42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20" w:right="0" w:firstLine="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2970" w:h="17966"/>
          <w:pgMar w:top="1513" w:right="1830" w:bottom="1878" w:left="2130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margin">
                  <wp:posOffset>536575</wp:posOffset>
                </wp:positionV>
                <wp:extent cx="667385" cy="15875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150000000000006pt;margin-top:42.25pt;width:52.550000000000004pt;height:12.5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CharStyle3"/>
        </w:rPr>
        <w:t>V Třebíči dne 15.3.2023</w:t>
      </w:r>
    </w:p>
    <w:p>
      <w:pPr>
        <w:widowControl w:val="0"/>
        <w:spacing w:line="232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970" w:h="17966"/>
          <w:pgMar w:top="1640" w:right="0" w:bottom="591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1889125</wp:posOffset>
            </wp:positionH>
            <wp:positionV relativeFrom="paragraph">
              <wp:posOffset>250190</wp:posOffset>
            </wp:positionV>
            <wp:extent cx="1060450" cy="707390"/>
            <wp:wrapTight wrapText="left">
              <wp:wrapPolygon>
                <wp:start x="0" y="0"/>
                <wp:lineTo x="21413" y="0"/>
                <wp:lineTo x="21413" y="94"/>
                <wp:lineTo x="21600" y="94"/>
                <wp:lineTo x="21600" y="21600"/>
                <wp:lineTo x="14068" y="21600"/>
                <wp:lineTo x="14068" y="14774"/>
                <wp:lineTo x="0" y="14774"/>
                <wp:lineTo x="0" y="0"/>
              </wp:wrapPolygon>
            </wp:wrapTight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60450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69265" distL="114300" distR="114300" simplePos="0" relativeHeight="125829386" behindDoc="0" locked="0" layoutInCell="1" allowOverlap="1">
            <wp:simplePos x="0" y="0"/>
            <wp:positionH relativeFrom="page">
              <wp:posOffset>4168775</wp:posOffset>
            </wp:positionH>
            <wp:positionV relativeFrom="paragraph">
              <wp:posOffset>12700</wp:posOffset>
            </wp:positionV>
            <wp:extent cx="2091055" cy="780415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91055" cy="7804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808355</wp:posOffset>
                </wp:positionV>
                <wp:extent cx="1017905" cy="45085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450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Oldřich Podlešák jednatel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9.60000000000002pt;margin-top:63.649999999999999pt;width:80.150000000000006pt;height:35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i/>
                          <w:iCs/>
                        </w:rPr>
                        <w:t>Oldřich Podlešák jednatel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6"/>
                          <w:b/>
                          <w:bCs/>
                          <w:sz w:val="20"/>
                          <w:szCs w:val="20"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2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1040" w:right="0" w:firstLine="0"/>
        <w:jc w:val="both"/>
      </w:pPr>
      <w:r>
        <w:rPr>
          <w:rStyle w:val="CharStyle3"/>
          <w:b/>
          <w:bCs/>
        </w:rPr>
        <w:t>Objednatel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104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2970" w:h="17966"/>
          <w:pgMar w:top="1640" w:right="1173" w:bottom="5912" w:left="71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 a ceník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rStyle w:val="CharStyle28"/>
          <w:b/>
          <w:bCs/>
        </w:rPr>
        <w:t>Rozpočet pro účely hodnocení</w:t>
      </w:r>
    </w:p>
    <w:tbl>
      <w:tblPr>
        <w:tblOverlap w:val="never"/>
        <w:jc w:val="center"/>
        <w:tblLayout w:type="fixed"/>
      </w:tblPr>
      <w:tblGrid>
        <w:gridCol w:w="422"/>
        <w:gridCol w:w="235"/>
        <w:gridCol w:w="178"/>
        <w:gridCol w:w="763"/>
        <w:gridCol w:w="946"/>
        <w:gridCol w:w="3792"/>
        <w:gridCol w:w="1013"/>
        <w:gridCol w:w="950"/>
        <w:gridCol w:w="576"/>
        <w:gridCol w:w="1099"/>
        <w:gridCol w:w="1109"/>
      </w:tblGrid>
      <w:tr>
        <w:trPr>
          <w:trHeight w:val="365" w:hRule="exact"/>
        </w:trPr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FEFD32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color w:val="2C2001"/>
                <w:sz w:val="12"/>
                <w:szCs w:val="12"/>
              </w:rPr>
              <w:t>REVIZE EZS (KONTROLA 1x za 6 měsíců)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Výjezdová základna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Cena za revizi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Cena za revizi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Cena celkem bez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Cena celkem včetně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DPH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Brno Bohunice, ul.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2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 xml:space="preserve">Kamenice </w:t>
            </w:r>
            <w:r>
              <w:rPr>
                <w:rStyle w:val="CharStyle30"/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yaaHA</w:t>
              <w:tab/>
              <w:t>*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GD-264, 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ústředna EZS. 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14 520,00 Kč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Ooto kouřový detektor kouře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133.10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10 780,00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13 043,80 Kč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Tísňový hlásič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84.70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508,20 Kč</w:t>
            </w:r>
          </w:p>
        </w:tc>
      </w:tr>
      <w:tr>
        <w:trPr>
          <w:trHeight w:val="13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 on 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108.90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11 160.00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13 503,60 Kč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PO26-B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2 400,00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2 904,00 Kč</w:t>
            </w:r>
          </w:p>
        </w:tc>
      </w:tr>
      <w:tr>
        <w:trPr>
          <w:trHeight w:val="139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96.80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7 680,00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9 292,80 Kč</w:t>
            </w:r>
          </w:p>
        </w:tc>
      </w:tr>
      <w:tr>
        <w:trPr>
          <w:trHeight w:val="13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1 500.00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1 815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Brno Bohunice - vzdělávací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středisko, ul. Kamenice 798/1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GD-512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 detektor kouře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133.10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2 200,00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2 662,00 Kč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Tísňový hlásič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84.70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508,20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5 400,00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6 534,00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3 200,00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3 872,00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4 160,00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5 033,60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Detektor tříštěni skla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2 340,00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2 831,40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a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1 210,00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2 420,00 Kč</w:t>
            </w:r>
          </w:p>
        </w:tc>
      </w:tr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Brno Černovice,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ul. Těžební 1284/1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Honeywell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 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ústředna EZS, zdroje, akumulátory, klávesnice a poslušenství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 detektor kouře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1 760,00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2 129,60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Termodiferenciální požární detektor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1 260,00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1 524,60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7 560,00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9 147,60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Detektor tříštění skla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338,80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PO26-B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2 420,00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4 160,00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5 033,60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Cestovné,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1 936,00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3 200,00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3 872,00 Kč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Brno Ponava,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Dělostřelecká 610/19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GD-264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ústředna EZS, 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 detektor kouře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2 395,80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9 360,00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11 325,60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PO26-B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1 600,00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1 936,00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4 800,00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5 808,00 Kč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1 815,00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Znojmo, Pražská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3872/59a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Honeywell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 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ústředna EZS, 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 detektor kouře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2 640,00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3 194.40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Termodiferenciální požární detektor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1 680,00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2 032,80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8 960,00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10 841,60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Detektor tříštění skla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2 395,80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PO26-B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1 600,00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1 936,00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5 280,00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6 388,80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1 815,00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3 630.00 Kč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both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K.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4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tabs>
                <w:tab w:pos="365" w:val="left"/>
              </w:tabs>
              <w:bidi w:val="0"/>
              <w:spacing w:before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i</w:t>
              <w:tab/>
              <w:t>I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340"/>
              <w:jc w:val="both"/>
              <w:rPr>
                <w:sz w:val="10"/>
                <w:szCs w:val="10"/>
              </w:rPr>
            </w:pPr>
            <w:r>
              <w:rPr>
                <w:rStyle w:val="CharStyle30"/>
                <w:b/>
                <w:bCs/>
                <w:sz w:val="10"/>
                <w:szCs w:val="10"/>
              </w:rPr>
              <w:t>3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12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L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I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GD-256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kouřový/tepelný detektor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2 395,80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Tísňový hlásič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1 016,40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3 702,60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Napájecí zdroj vč. aku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242,00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3 200,00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3 872,00 Kč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3 360,00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4 065,60 Kč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Detektro tříštění skla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1 440,00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1 742,40 Kč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a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2 299,00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3 800,00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4 598,00 Kč</w:t>
            </w:r>
          </w:p>
        </w:tc>
      </w:tr>
      <w:tr>
        <w:trPr>
          <w:trHeight w:val="173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VZ Šumná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Galaxy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GD-256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Zdroje, akumulátory, klávesnice a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3 630,00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7 260,00 Kč</w:t>
            </w:r>
          </w:p>
        </w:tc>
      </w:tr>
      <w:tr>
        <w:trPr>
          <w:trHeight w:val="168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Opto kouřový/tepelný detektor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133,10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2 395,80 Kč</w:t>
            </w:r>
          </w:p>
        </w:tc>
      </w:tr>
      <w:tr>
        <w:trPr>
          <w:trHeight w:val="163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Tísňový hlásič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84,70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420,00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508,20 Kč</w:t>
            </w:r>
          </w:p>
        </w:tc>
      </w:tr>
      <w:tr>
        <w:trPr>
          <w:trHeight w:val="168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Magnetický kontakt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5 220,00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6 316,20 Kč</w:t>
            </w:r>
          </w:p>
        </w:tc>
      </w:tr>
      <w:tr>
        <w:trPr>
          <w:trHeight w:val="168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Pohybový detektor PIR + duál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96,80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1 760,00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2 129,60 Kč</w:t>
            </w:r>
          </w:p>
        </w:tc>
      </w:tr>
      <w:tr>
        <w:trPr>
          <w:trHeight w:val="163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Detektro tříštění skla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108,90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1 620,00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1 960,20 Kč</w:t>
            </w:r>
          </w:p>
        </w:tc>
      </w:tr>
      <w:tr>
        <w:trPr>
          <w:trHeight w:val="168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Cestovné a VRN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935,00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1 131,35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1 870,00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sz w:val="12"/>
                <w:szCs w:val="12"/>
              </w:rPr>
              <w:t>2 262,70 Kč</w:t>
            </w:r>
          </w:p>
        </w:tc>
      </w:tr>
      <w:tr>
        <w:trPr>
          <w:trHeight w:val="235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</w:tcBorders>
            <w:shd w:val="clear" w:color="auto" w:fill="FEFD32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sz w:val="12"/>
                <w:szCs w:val="12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EFD32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color w:val="2C2001"/>
                <w:sz w:val="12"/>
                <w:szCs w:val="12"/>
              </w:rPr>
              <w:t>199 810,00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EFD32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Style w:val="CharStyle30"/>
                <w:b/>
                <w:bCs/>
                <w:color w:val="2C2001"/>
                <w:sz w:val="12"/>
                <w:szCs w:val="12"/>
              </w:rPr>
              <w:t>241 770,10 Kč</w:t>
            </w:r>
          </w:p>
        </w:tc>
      </w:tr>
    </w:tbl>
    <w:sectPr>
      <w:footerReference w:type="default" r:id="rId13"/>
      <w:footerReference w:type="even" r:id="rId14"/>
      <w:footnotePr>
        <w:pos w:val="pageBottom"/>
        <w:numFmt w:val="decimal"/>
        <w:numRestart w:val="continuous"/>
      </w:footnotePr>
      <w:pgSz w:w="12970" w:h="17966"/>
      <w:pgMar w:top="1640" w:right="1173" w:bottom="5912" w:left="713" w:header="1212" w:footer="548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10577195</wp:posOffset>
              </wp:positionV>
              <wp:extent cx="2115185" cy="1460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1518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11"/>
                              <w:i/>
                              <w:iCs/>
                              <w:sz w:val="22"/>
                              <w:szCs w:val="22"/>
                            </w:rPr>
                            <w:t>Veřejná zakázka 182023: Servis EZS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02.90000000000001pt;margin-top:832.85000000000002pt;width:166.55000000000001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1"/>
                        <w:i/>
                        <w:iCs/>
                        <w:sz w:val="22"/>
                        <w:szCs w:val="22"/>
                      </w:rPr>
                      <w:t>Veřejná zakázka 182023: Servis EZS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10427970</wp:posOffset>
              </wp:positionV>
              <wp:extent cx="2121535" cy="1371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153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11"/>
                              <w:i/>
                              <w:iCs/>
                              <w:sz w:val="22"/>
                              <w:szCs w:val="22"/>
                            </w:rPr>
                            <w:t>Veřejná zakázka 18_2023: Servis EZS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02.90000000000001pt;margin-top:821.10000000000002pt;width:167.05000000000001pt;height:10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1"/>
                        <w:i/>
                        <w:iCs/>
                        <w:sz w:val="22"/>
                        <w:szCs w:val="22"/>
                      </w:rPr>
                      <w:t>Veřejná zakázka 18_2023: Servis EZS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  <w:spacing w:line="250" w:lineRule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auto"/>
      <w:spacing w:after="220"/>
      <w:ind w:right="6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