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76200" distB="1987550" distL="79375" distR="75565" simplePos="0" relativeHeight="125829378" behindDoc="0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1121410</wp:posOffset>
                </wp:positionV>
                <wp:extent cx="1697990" cy="177990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7990" cy="1779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e-mail: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(dále jen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„objednatel“)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0.pt;margin-top:88.299999999999997pt;width:133.69999999999999pt;height:140.15000000000001pt;z-index:-125829375;mso-wrap-distance-left:6.25pt;mso-wrap-distance-top:6.pt;mso-wrap-distance-right:5.9500000000000002pt;mso-wrap-distance-bottom:156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e-mail: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„objednatel“)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2277110" distB="76200" distL="76200" distR="78740" simplePos="0" relativeHeight="125829380" behindDoc="0" locked="0" layoutInCell="1" allowOverlap="1">
                <wp:simplePos x="0" y="0"/>
                <wp:positionH relativeFrom="page">
                  <wp:posOffset>1266825</wp:posOffset>
                </wp:positionH>
                <wp:positionV relativeFrom="paragraph">
                  <wp:posOffset>3322320</wp:posOffset>
                </wp:positionV>
                <wp:extent cx="1697990" cy="149034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7990" cy="1490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(dále jen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„zhotovitel“)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99.75pt;margin-top:261.60000000000002pt;width:133.69999999999999pt;height:117.35000000000001pt;z-index:-125829373;mso-wrap-distance-left:6.pt;mso-wrap-distance-top:179.30000000000001pt;mso-wrap-distance-right:6.2000000000000002pt;mso-wrap-distance-bottom:6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„zhotovitel“)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173990" distB="0" distL="114300" distR="114300" simplePos="0" relativeHeight="125829382" behindDoc="0" locked="0" layoutInCell="1" allowOverlap="1">
            <wp:simplePos x="0" y="0"/>
            <wp:positionH relativeFrom="page">
              <wp:posOffset>6149975</wp:posOffset>
            </wp:positionH>
            <wp:positionV relativeFrom="paragraph">
              <wp:posOffset>3926205</wp:posOffset>
            </wp:positionV>
            <wp:extent cx="1268095" cy="676910"/>
            <wp:wrapSquare wrapText="bothSides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268095" cy="6769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6433185</wp:posOffset>
                </wp:positionH>
                <wp:positionV relativeFrom="paragraph">
                  <wp:posOffset>3752215</wp:posOffset>
                </wp:positionV>
                <wp:extent cx="755650" cy="21018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565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6"/>
                                <w:color w:val="99C6D3"/>
                                <w:sz w:val="22"/>
                                <w:szCs w:val="22"/>
                              </w:rPr>
                              <w:t>/ 9 63. /023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06.55000000000001pt;margin-top:295.44999999999999pt;width:59.5pt;height:16.5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6"/>
                          <w:color w:val="99C6D3"/>
                          <w:sz w:val="22"/>
                          <w:szCs w:val="22"/>
                        </w:rPr>
                        <w:t>/ 9 63. /023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9"/>
        </w:rPr>
        <w:t>2023002215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r>
        <w:rPr>
          <w:rStyle w:val="CharStyle3"/>
          <w:b/>
          <w:bCs/>
        </w:rPr>
        <w:t>SMLOUVA O DÍLO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57" w:lineRule="auto"/>
        <w:ind w:left="0" w:right="0" w:firstLine="0"/>
        <w:jc w:val="center"/>
      </w:pPr>
      <w:r>
        <w:rPr>
          <w:rStyle w:val="CharStyle3"/>
        </w:rPr>
        <w:t>podle ust. § 2586 a násl. občanského zákoníku, uzavřená mezi</w:t>
        <w:br/>
        <w:t>níže uvedenými smluvními stranami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  <w:b/>
          <w:bCs/>
        </w:rPr>
        <w:t>Zdravotnická záchranná služba Jihomoravského kraje,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Kamenice 798/1 d, 625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MUDr. Hana Albrechtová,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  <w:spacing w:val="9"/>
          <w:shd w:val="clear" w:color="auto" w:fill="000000"/>
        </w:rPr>
        <w:t>......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1"/>
          <w:shd w:val="clear" w:color="auto" w:fill="000000"/>
        </w:rPr>
        <w:t>.....</w:t>
      </w:r>
      <w:r>
        <w:rPr>
          <w:rStyle w:val="CharStyle3"/>
          <w:spacing w:val="2"/>
          <w:shd w:val="clear" w:color="auto" w:fill="000000"/>
        </w:rPr>
        <w:t>......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2"/>
          <w:shd w:val="clear" w:color="auto" w:fill="000000"/>
        </w:rPr>
        <w:t>.</w:t>
      </w:r>
      <w:r>
        <w:rPr>
          <w:rStyle w:val="CharStyle3"/>
          <w:spacing w:val="3"/>
          <w:shd w:val="clear" w:color="auto" w:fill="000000"/>
        </w:rPr>
        <w:t>.........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  <w:u w:val="single"/>
          <w:shd w:val="clear" w:color="auto" w:fill="000000"/>
          <w:lang w:val="en-US" w:eastAsia="en-US" w:bidi="en-US"/>
        </w:rPr>
        <w:t>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</w:t>
      </w:r>
      <w:r>
        <w:rPr>
          <w:rStyle w:val="CharStyle3"/>
          <w:shd w:val="clear" w:color="auto" w:fill="000000"/>
          <w:lang w:val="en-US" w:eastAsia="en-US" w:bidi="en-US"/>
        </w:rPr>
        <w:t>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8"/>
          <w:shd w:val="clear" w:color="auto" w:fill="000000"/>
        </w:rPr>
        <w:t>..</w:t>
      </w:r>
      <w:r>
        <w:rPr>
          <w:rStyle w:val="CharStyle3"/>
          <w:spacing w:val="9"/>
          <w:shd w:val="clear" w:color="auto" w:fill="000000"/>
        </w:rPr>
        <w:t>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8"/>
          <w:shd w:val="clear" w:color="auto" w:fill="000000"/>
        </w:rPr>
        <w:t>.</w:t>
      </w:r>
      <w:r>
        <w:rPr>
          <w:rStyle w:val="CharStyle3"/>
          <w:spacing w:val="9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6"/>
          <w:shd w:val="clear" w:color="auto" w:fill="000000"/>
        </w:rPr>
        <w:t>....</w:t>
      </w:r>
      <w:r>
        <w:rPr>
          <w:rStyle w:val="CharStyle3"/>
          <w:spacing w:val="7"/>
          <w:shd w:val="clear" w:color="auto" w:fill="000000"/>
        </w:rPr>
        <w:t>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10"/>
          <w:shd w:val="clear" w:color="auto" w:fill="000000"/>
        </w:rPr>
        <w:t>..</w:t>
      </w:r>
      <w:r>
        <w:rPr>
          <w:rStyle w:val="CharStyle3"/>
          <w:spacing w:val="11"/>
          <w:shd w:val="clear" w:color="auto" w:fill="000000"/>
        </w:rPr>
        <w:t>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CZ00346292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Krajský soud v Brně sp. zn. Pr 1245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both"/>
      </w:pPr>
      <w:r>
        <w:rPr>
          <w:rStyle w:val="CharStyle3"/>
        </w:rPr>
        <w:t>MONETA Money Bank, a.s., č. ú. 117203514/0600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Kelcom International Třebíč,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Hrotovická 160, 674 01 Třebíč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Oldřich Podlešák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  <w:spacing w:val="1"/>
          <w:shd w:val="clear" w:color="auto" w:fill="000000"/>
        </w:rPr>
        <w:t>.......</w:t>
      </w:r>
      <w:r>
        <w:rPr>
          <w:rStyle w:val="CharStyle3"/>
          <w:spacing w:val="2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2"/>
          <w:shd w:val="clear" w:color="auto" w:fill="000000"/>
        </w:rPr>
        <w:t>.....</w:t>
      </w:r>
      <w:r>
        <w:rPr>
          <w:rStyle w:val="CharStyle3"/>
          <w:spacing w:val="3"/>
          <w:shd w:val="clear" w:color="auto" w:fill="000000"/>
        </w:rPr>
        <w:t>.........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43371876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CZ 433718766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80" w:line="240" w:lineRule="auto"/>
        <w:ind w:left="0" w:right="0" w:firstLine="0"/>
        <w:jc w:val="both"/>
      </w:pPr>
      <w:r>
        <w:rPr>
          <w:rStyle w:val="CharStyle3"/>
        </w:rPr>
        <w:t>Krajský soud v Brně sp. Zn. C C 4642 111401288/0300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3"/>
        </w:rPr>
        <w:t>Zhotovitel se zavazuje, že pro objednatele provede dílo, spočívající v provádění pravidelných preventivních kontrol elektronického zabezpečovacího systému (dále jen „EZS“) zadavatele a to způsobem a v rozsahu dle přílohy č. 1 této smlouvy, která je její nedílnou součástí, a dle průběžných pokynů objednatele.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3"/>
        </w:rPr>
        <w:t>Zhotovitel se zavazuje plnit svůj závazek podle čl. 1 této smlouvy ve lhůtách dle přílohy č. 1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3"/>
        </w:rPr>
        <w:t>Závazek podle čl. 1 této smlouvy se bude považovat za splněný v případě každé jednotlivé kontroly po dokončení všech prací, spojených s touto kontrolou, předáním a převzetím díla formou písemného předávacího protokolu, podepsaného oběma stranami. Objednatel přitom není povinen potvrdit zhotoviteli předávací protokol podle tohoto článku této smlouvy, zjistí-li se na předávaném díle vada.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3"/>
        </w:rPr>
        <w:t>Místem splnění závazku zhotovitele k provedení díla se rozumí výjezdové základny objednatele dle přílohy č. 1 k této smlouvě.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3"/>
        </w:rPr>
        <w:t>Zhotovitel se zavazuje postupovat při provádění díla podle čl. 1 této smlouvy dle příslušných právních předpisů, technických norem a dle průběžných pokynů objednatele. Při provádění díla se pak zhotovitel zavazuje postupovat tak, aby nebyl narušen provoz zdravotnického zařízení objednatele.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3"/>
        </w:rPr>
        <w:t>Pro případ prodlení zhotovitele s plněním jeho závazků podle této smlouvy ve lhůtách podle čl. 2 této smlouvy se zhotovitel zavazuje platit objednateli smluvní pokutu ve výši 1 000,- Kč za každý započatý den prodlení.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3"/>
        </w:rPr>
        <w:t xml:space="preserve">Objednatel se zavazuje zaplatit zhotoviteli za dílo podle čl. 1 této smlouvy cenu díla ve výši dle přílohy č. 1 za jednu provedenou kontrolu. Součástí této ceny jsou veškeré náklady zhotovitele, spojené s plněním závazku zhotovitele podle čl. 1 této smlouvy v místě splnění závazku zhotovitele podle čl. 4 této smlouvy, včetně cestovních nákladů </w:t>
      </w:r>
      <w:r>
        <w:rPr>
          <w:rStyle w:val="CharStyle3"/>
          <w:b/>
          <w:bCs/>
          <w:i/>
          <w:iCs/>
        </w:rPr>
        <w:t>a</w:t>
      </w:r>
      <w:r>
        <w:rPr>
          <w:rStyle w:val="CharStyle3"/>
        </w:rPr>
        <w:t xml:space="preserve"> daně z přidané hodnoty ve výši dle zákona.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3"/>
        </w:rPr>
        <w:t xml:space="preserve">Cena díla podle čl. 7 této smlouvy je splatná vždy po splnění závazku zhotovitele k provedení díla ve Ihůtě do 30 dnů od předložení jejího písemného vyúčtování (faktury - daňového dokladu) objednateli. Součástí faktury/daňového dokladu budou jako přílohy veškeré servisní protokoly. Na faktuře bude mimo jiné uvedeno číslo veřejné zakázky: </w:t>
      </w:r>
      <w:r>
        <w:rPr>
          <w:rStyle w:val="CharStyle3"/>
          <w:b/>
          <w:bCs/>
        </w:rPr>
        <w:t xml:space="preserve">P23V00000774. </w:t>
      </w:r>
      <w:r>
        <w:rPr>
          <w:rStyle w:val="CharStyle3"/>
        </w:rPr>
        <w:t>Nebude- 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3"/>
        </w:rPr>
        <w:t>Pro případ prodlení s úhradou ceny díla ve Ihůtě podle čl. 8 této smlouvy se objednatel zavazuje zaplatit zhotoviteli úrok z prodlení ve výši dle zákona.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3"/>
        </w:rPr>
        <w:t>Zhotovitel odpovídá objednateli za to, že dílo podle čl. 1 této smlouvy bude odpovídat tuzemským právním předpisům, technickým, hygienickým a jiným normám, a že bude mít ty vlastnosti, které jsou u děl tohoto druhu obvyklé, a to po celou dobu, po kterou to bude mít pro objednatele ekonomický, právní či jiný obdobný význam.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Zhotovitel se zavazuje rozhodovat o písemných reklamacích objednatele v období po dokončení díla písemně ve Ihůtě do 48 hodin od jejich doručení, a ve stejné Ihůtě provést odstranění vad z oprávněných reklamací, nebude-li mezi oběma stranami v jednotlivém případě dohodnuto jinak.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3"/>
        </w:rPr>
        <w:t>Neprovede-li zhotovitel odstranění vady ve Ihůtě podle čl. 11 této smlouvy je objednatel oprávněn účtovat zhotoviteli smluvní pokutu ve výši 500,- Kč za každý započatý den prodlení a navíc nechat provést toto odstranění třetí osobou na náklad zhotovitele.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3"/>
        </w:rPr>
        <w:t>Není-li touto smlouvou ujednáno jinak, řídí se vzájemný právní vztah mezi zhotovitelem a objednatelem ust. § 2586 až 2622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3"/>
        </w:rPr>
        <w:t>Tuto smlouvu lze změnit nebo zrušit pouze jinou písemnou dohodu obou smluvních stran. Tuto smlouvu lze také ze strany objednatele vypovědět písemnou výpovědí s tříměsíční výpovědní lhůtou, která počne běžet prvním dnem měsíce následujícího po doručení výpovědi druhé smluvní straně.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3"/>
        </w:rPr>
        <w:t>Tato smlouva se uzavírá na základě návrhu na její uzavření ze strany objednatele. Předpokladem uzavření této smlouvy je její písemná forma a dohoda o celém jejím obsahu jak je obsažen v jejích článcích 1 až 19. Objednatel přitom předem vylučuje přijetí tohoto návrhu s dodatkem nebo odchylkou ve smyslu ust.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3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objednatel.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3"/>
        </w:rPr>
        <w:t>Tato smlouva nabývá účinnosti dnem jejího uveřejnění v registru smluv dle čl. 16 a uzavírá se na dobu určitou, a to na dobu jednoho roku od její účinnosti.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3"/>
        </w:rPr>
        <w:t>Zhotovitel uděluje objednateli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57" w:lineRule="auto"/>
        <w:ind w:left="420" w:right="0" w:hanging="420"/>
        <w:jc w:val="both"/>
      </w:pPr>
      <w:r>
        <w:rPr>
          <w:rStyle w:val="CharStyle3"/>
        </w:rPr>
        <w:t>Dáno ve dvou originálních písemných vyhotoveních, z nichž každá ze smluvních stran obdrží po jednom.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120" w:right="0" w:firstLine="0"/>
        <w:jc w:val="left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2970" w:h="17966"/>
          <w:pgMar w:top="1513" w:right="1830" w:bottom="1878" w:left="2130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1068705</wp:posOffset>
                </wp:positionH>
                <wp:positionV relativeFrom="margin">
                  <wp:posOffset>536575</wp:posOffset>
                </wp:positionV>
                <wp:extent cx="667385" cy="15875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738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4.150000000000006pt;margin-top:42.25pt;width:52.550000000000004pt;height:12.5pt;z-index:-125829370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Style w:val="CharStyle3"/>
        </w:rPr>
        <w:t>V Třebíči dne 15.3.2023</w:t>
      </w:r>
    </w:p>
    <w:p>
      <w:pPr>
        <w:widowControl w:val="0"/>
        <w:spacing w:line="232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970" w:h="17966"/>
          <w:pgMar w:top="1640" w:right="0" w:bottom="591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0" distR="0" simplePos="0" relativeHeight="125829385" behindDoc="0" locked="0" layoutInCell="1" allowOverlap="1">
            <wp:simplePos x="0" y="0"/>
            <wp:positionH relativeFrom="page">
              <wp:posOffset>1889125</wp:posOffset>
            </wp:positionH>
            <wp:positionV relativeFrom="paragraph">
              <wp:posOffset>250190</wp:posOffset>
            </wp:positionV>
            <wp:extent cx="1060450" cy="707390"/>
            <wp:wrapTight wrapText="left">
              <wp:wrapPolygon>
                <wp:start x="0" y="0"/>
                <wp:lineTo x="21413" y="0"/>
                <wp:lineTo x="21413" y="94"/>
                <wp:lineTo x="21600" y="94"/>
                <wp:lineTo x="21600" y="21600"/>
                <wp:lineTo x="14068" y="21600"/>
                <wp:lineTo x="14068" y="14774"/>
                <wp:lineTo x="0" y="14774"/>
                <wp:lineTo x="0" y="0"/>
              </wp:wrapPolygon>
            </wp:wrapTight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060450" cy="707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469265" distL="114300" distR="114300" simplePos="0" relativeHeight="125829386" behindDoc="0" locked="0" layoutInCell="1" allowOverlap="1">
            <wp:simplePos x="0" y="0"/>
            <wp:positionH relativeFrom="page">
              <wp:posOffset>4168775</wp:posOffset>
            </wp:positionH>
            <wp:positionV relativeFrom="paragraph">
              <wp:posOffset>12700</wp:posOffset>
            </wp:positionV>
            <wp:extent cx="2091055" cy="780415"/>
            <wp:wrapSquare wrapText="left"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091055" cy="78041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4439920</wp:posOffset>
                </wp:positionH>
                <wp:positionV relativeFrom="paragraph">
                  <wp:posOffset>808355</wp:posOffset>
                </wp:positionV>
                <wp:extent cx="1017905" cy="450850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17905" cy="450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  <w:i/>
                                <w:iCs/>
                              </w:rPr>
                              <w:t>Oldřich Podlešák jednatel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6"/>
                                <w:b/>
                                <w:bCs/>
                                <w:sz w:val="20"/>
                                <w:szCs w:val="20"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49.60000000000002pt;margin-top:63.649999999999999pt;width:80.150000000000006pt;height:35.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i/>
                          <w:iCs/>
                        </w:rPr>
                        <w:t>Oldřich Podlešák jednatel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6"/>
                          <w:b/>
                          <w:bCs/>
                          <w:sz w:val="20"/>
                          <w:szCs w:val="20"/>
                        </w:rPr>
                        <w:t>Zhotovitel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40" w:right="0" w:firstLine="20"/>
        <w:jc w:val="left"/>
      </w:pPr>
      <w:r>
        <w:rPr>
          <w:rStyle w:val="CharStyle3"/>
        </w:rPr>
        <w:t>MUDr. Hana Albrechtová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1040" w:right="0" w:firstLine="0"/>
        <w:jc w:val="both"/>
      </w:pPr>
      <w:r>
        <w:rPr>
          <w:rStyle w:val="CharStyle3"/>
          <w:b/>
          <w:bCs/>
        </w:rPr>
        <w:t>Objednatel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104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2970" w:h="17966"/>
          <w:pgMar w:top="1640" w:right="1173" w:bottom="5912" w:left="713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Příloha č. 1 Specifikace a ceník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" w:right="0" w:firstLine="0"/>
        <w:jc w:val="left"/>
      </w:pPr>
      <w:r>
        <w:rPr>
          <w:rStyle w:val="CharStyle28"/>
          <w:b/>
          <w:bCs/>
        </w:rPr>
        <w:t>Rozpočet pro účely hodnocení</w:t>
      </w:r>
    </w:p>
    <w:tbl>
      <w:tblPr>
        <w:tblOverlap w:val="never"/>
        <w:jc w:val="center"/>
        <w:tblLayout w:type="fixed"/>
      </w:tblPr>
      <w:tblGrid>
        <w:gridCol w:w="422"/>
        <w:gridCol w:w="235"/>
        <w:gridCol w:w="178"/>
        <w:gridCol w:w="763"/>
        <w:gridCol w:w="946"/>
        <w:gridCol w:w="3792"/>
        <w:gridCol w:w="1013"/>
        <w:gridCol w:w="950"/>
        <w:gridCol w:w="576"/>
        <w:gridCol w:w="1099"/>
        <w:gridCol w:w="1109"/>
      </w:tblGrid>
      <w:tr>
        <w:trPr>
          <w:trHeight w:val="365" w:hRule="exact"/>
        </w:trPr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FEFD32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color w:val="2C2001"/>
                <w:sz w:val="12"/>
                <w:szCs w:val="12"/>
              </w:rPr>
              <w:t>REVIZE EZS (KONTROLA 1x za 6 měsíců)</w:t>
            </w:r>
          </w:p>
        </w:tc>
      </w:tr>
      <w:tr>
        <w:trPr>
          <w:trHeight w:val="45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Style w:val="CharStyle30"/>
                <w:b/>
                <w:bCs/>
                <w:sz w:val="10"/>
                <w:szCs w:val="10"/>
              </w:rPr>
              <w:t>Výjezdová základna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Style w:val="CharStyle30"/>
                <w:b/>
                <w:bCs/>
                <w:sz w:val="10"/>
                <w:szCs w:val="10"/>
              </w:rPr>
              <w:t>Typ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  <w:rPr>
                <w:sz w:val="10"/>
                <w:szCs w:val="10"/>
              </w:rPr>
            </w:pPr>
            <w:r>
              <w:rPr>
                <w:rStyle w:val="CharStyle30"/>
                <w:b/>
                <w:bCs/>
                <w:sz w:val="10"/>
                <w:szCs w:val="10"/>
              </w:rPr>
              <w:t>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Style w:val="CharStyle30"/>
                <w:b/>
                <w:bCs/>
                <w:sz w:val="10"/>
                <w:szCs w:val="10"/>
              </w:rPr>
              <w:t>Cena za revizi v Kč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Style w:val="CharStyle30"/>
                <w:b/>
                <w:bCs/>
                <w:sz w:val="10"/>
                <w:szCs w:val="10"/>
              </w:rPr>
              <w:t>Cena za revizi v Kč vč.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Style w:val="CharStyle30"/>
                <w:b/>
                <w:bCs/>
                <w:sz w:val="10"/>
                <w:szCs w:val="10"/>
              </w:rPr>
              <w:t>Počet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20" w:firstLine="0"/>
              <w:jc w:val="right"/>
              <w:rPr>
                <w:sz w:val="10"/>
                <w:szCs w:val="10"/>
              </w:rPr>
            </w:pPr>
            <w:r>
              <w:rPr>
                <w:rStyle w:val="CharStyle30"/>
                <w:b/>
                <w:bCs/>
                <w:sz w:val="10"/>
                <w:szCs w:val="10"/>
              </w:rPr>
              <w:t>Cena celkem bez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20" w:firstLine="0"/>
              <w:jc w:val="right"/>
              <w:rPr>
                <w:sz w:val="10"/>
                <w:szCs w:val="10"/>
              </w:rPr>
            </w:pPr>
            <w:r>
              <w:rPr>
                <w:rStyle w:val="CharStyle30"/>
                <w:b/>
                <w:bCs/>
                <w:sz w:val="10"/>
                <w:szCs w:val="10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rStyle w:val="CharStyle30"/>
                <w:b/>
                <w:bCs/>
                <w:sz w:val="10"/>
                <w:szCs w:val="10"/>
              </w:rPr>
              <w:t>Cena celkem včetně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0"/>
                <w:szCs w:val="10"/>
              </w:rPr>
            </w:pPr>
            <w:r>
              <w:rPr>
                <w:rStyle w:val="CharStyle30"/>
                <w:b/>
                <w:bCs/>
                <w:sz w:val="10"/>
                <w:szCs w:val="10"/>
              </w:rPr>
              <w:t>DPH</w:t>
            </w:r>
          </w:p>
        </w:tc>
      </w:tr>
      <w:tr>
        <w:trPr>
          <w:trHeight w:val="14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66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VZ Brno Bohunice, ul.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tabs>
                <w:tab w:pos="763" w:val="left"/>
              </w:tabs>
              <w:bidi w:val="0"/>
              <w:spacing w:before="0" w:after="0" w:line="228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 xml:space="preserve">Kamenice </w:t>
            </w:r>
            <w:r>
              <w:rPr>
                <w:rStyle w:val="CharStyle30"/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yaaHA</w:t>
              <w:tab/>
              <w:t>*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Galaxy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GD-264, 512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ústředna EZS. zdroje, akumulátory, klávesnice a příslušenství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3 000.00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3 630.00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12 000,00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14 520,00 Kč</w:t>
            </w:r>
          </w:p>
        </w:tc>
      </w:tr>
      <w:tr>
        <w:trPr>
          <w:trHeight w:val="144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Ooto kouřový detektor kouře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110.00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133.10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10 780,00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13 043,80 Kč</w:t>
            </w:r>
          </w:p>
        </w:tc>
      </w:tr>
      <w:tr>
        <w:trPr>
          <w:trHeight w:val="144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Tísňový hlásič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70.00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84.70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420,00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508,20 Kč</w:t>
            </w:r>
          </w:p>
        </w:tc>
      </w:tr>
      <w:tr>
        <w:trPr>
          <w:trHeight w:val="139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Ma on etický kontakt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90.00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108.90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11 160.00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13 503,60 Kč</w:t>
            </w:r>
          </w:p>
        </w:tc>
      </w:tr>
      <w:tr>
        <w:trPr>
          <w:trHeight w:val="144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PO26-B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Napájecí zdroj vč. aku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200.00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242.00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2 400,00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2 904,00 Kč</w:t>
            </w:r>
          </w:p>
        </w:tc>
      </w:tr>
      <w:tr>
        <w:trPr>
          <w:trHeight w:val="139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Pohybový detektor PIR + duál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80.00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96.80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7 680,00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9 292,80 Kč</w:t>
            </w:r>
          </w:p>
        </w:tc>
      </w:tr>
      <w:tr>
        <w:trPr>
          <w:trHeight w:val="134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Cestovné VRN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1 500.00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1 815 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3 000.00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3 630,00 Kč</w:t>
            </w:r>
          </w:p>
        </w:tc>
      </w:tr>
      <w:tr>
        <w:trPr>
          <w:trHeight w:val="14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59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VZ Brno Bohunice - vzdělávací</w:t>
            </w:r>
          </w:p>
        </w:tc>
        <w:tc>
          <w:tcPr>
            <w:gridSpan w:val="2"/>
            <w:vMerge w:val="restart"/>
            <w:tcBorders>
              <w:top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středisko, ul. Kamenice 798/1 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Galaxy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GD-512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Zdroje, akumulátory, klávesnice a příslušenství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3 000.00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3 630.00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6 000,00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7 260,00 Kč</w:t>
            </w:r>
          </w:p>
        </w:tc>
      </w:tr>
      <w:tr>
        <w:trPr>
          <w:trHeight w:val="144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Opto kouřový detektor kouře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110.00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133.10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2 200,00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2 662,00 Kč</w:t>
            </w:r>
          </w:p>
        </w:tc>
      </w:tr>
      <w:tr>
        <w:trPr>
          <w:trHeight w:val="144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Tísňový hlásič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70.00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84.70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420,00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508,20 Kč</w:t>
            </w:r>
          </w:p>
        </w:tc>
      </w:tr>
      <w:tr>
        <w:trPr>
          <w:trHeight w:val="168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Magnetický kontakt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108,90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5 400,00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6 534,00 Kč</w:t>
            </w:r>
          </w:p>
        </w:tc>
      </w:tr>
      <w:tr>
        <w:trPr>
          <w:trHeight w:val="163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Napájecí zdroj vč. aku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242,00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3 200,00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3 872,00 Kč</w:t>
            </w:r>
          </w:p>
        </w:tc>
      </w:tr>
      <w:tr>
        <w:trPr>
          <w:trHeight w:val="163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Pohybový detektor PIR + duál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80,00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96,80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4 160,00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5 033,60 Kč</w:t>
            </w:r>
          </w:p>
        </w:tc>
      </w:tr>
      <w:tr>
        <w:trPr>
          <w:trHeight w:val="168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Detektor tříštěni skla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108,90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2 340,00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2 831,40 Kč</w:t>
            </w:r>
          </w:p>
        </w:tc>
      </w:tr>
      <w:tr>
        <w:trPr>
          <w:trHeight w:val="168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Cestovné a VRN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1 210,00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2 420,00 Kč</w:t>
            </w:r>
          </w:p>
        </w:tc>
      </w:tr>
      <w:tr>
        <w:trPr>
          <w:trHeight w:val="17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VZ Brno Černovice,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ul. Těžební 1284/1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Honeywell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Galaxy 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ústředna EZS, zdroje, akumulátory, klávesnice a poslušenství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3 630,00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6 000,00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7 260,00 Kč</w:t>
            </w:r>
          </w:p>
        </w:tc>
      </w:tr>
      <w:tr>
        <w:trPr>
          <w:trHeight w:val="168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Opto kouřový detektor kouře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110,00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133,10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1 760,00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2 129,60 Kč</w:t>
            </w:r>
          </w:p>
        </w:tc>
      </w:tr>
      <w:tr>
        <w:trPr>
          <w:trHeight w:val="163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Termodiferenciální požární detektor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70,00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84,70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1 260,00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1 524,60 Kč</w:t>
            </w:r>
          </w:p>
        </w:tc>
      </w:tr>
      <w:tr>
        <w:trPr>
          <w:trHeight w:val="168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Magnetický kontakt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108,90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7 560,00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9 147,60 Kč</w:t>
            </w:r>
          </w:p>
        </w:tc>
      </w:tr>
      <w:tr>
        <w:trPr>
          <w:trHeight w:val="168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Detektor tříštění skla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70,00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84,70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280,00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338,80 Kč</w:t>
            </w:r>
          </w:p>
        </w:tc>
      </w:tr>
      <w:tr>
        <w:trPr>
          <w:trHeight w:val="163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PO26-B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Napájecí zdroj vč. aku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242,00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2 420,00 Kč</w:t>
            </w:r>
          </w:p>
        </w:tc>
      </w:tr>
      <w:tr>
        <w:trPr>
          <w:trHeight w:val="168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Pohybový detektor PIR + duál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80,00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96,80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4 160,00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5 033,60 Kč</w:t>
            </w:r>
          </w:p>
        </w:tc>
      </w:tr>
      <w:tr>
        <w:trPr>
          <w:trHeight w:val="168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Cestovné, VRN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1 600,00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1 936,00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3 200,00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3 872,00 Kč</w:t>
            </w:r>
          </w:p>
        </w:tc>
      </w:tr>
      <w:tr>
        <w:trPr>
          <w:trHeight w:val="17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66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VZ Brno Ponava,</w:t>
            </w:r>
          </w:p>
        </w:tc>
        <w:tc>
          <w:tcPr>
            <w:gridSpan w:val="2"/>
            <w:vMerge w:val="restart"/>
            <w:tcBorders>
              <w:top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Dělostřelecká 610/19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Galaxy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GD-264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ústředna EZS, zdroje, akumulátory, klávesnice a příslušenství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3 630,00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6 000,00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7 260,00 Kč</w:t>
            </w:r>
          </w:p>
        </w:tc>
      </w:tr>
      <w:tr>
        <w:trPr>
          <w:trHeight w:val="168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Opto kouřový detektor kouře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110,00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133,10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1 980,00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2 395,80 Kč</w:t>
            </w:r>
          </w:p>
        </w:tc>
      </w:tr>
      <w:tr>
        <w:trPr>
          <w:trHeight w:val="163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Magnetický kontakt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108,90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9 360,00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11 325,60 Kč</w:t>
            </w:r>
          </w:p>
        </w:tc>
      </w:tr>
      <w:tr>
        <w:trPr>
          <w:trHeight w:val="168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PO26-B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Napájecí zdroj vč. aku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242,00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1 600,00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1 936,00 Kč</w:t>
            </w:r>
          </w:p>
        </w:tc>
      </w:tr>
      <w:tr>
        <w:trPr>
          <w:trHeight w:val="163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Pohybový detektor PIR + duál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80,00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96,80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4 800,00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5 808,00 Kč</w:t>
            </w:r>
          </w:p>
        </w:tc>
      </w:tr>
      <w:tr>
        <w:trPr>
          <w:trHeight w:val="173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Cestovné VRN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1 815,00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3 630,00 Kč</w:t>
            </w:r>
          </w:p>
        </w:tc>
      </w:tr>
      <w:tr>
        <w:trPr>
          <w:trHeight w:val="17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VZ Znojmo, Pražská</w:t>
            </w:r>
          </w:p>
        </w:tc>
        <w:tc>
          <w:tcPr>
            <w:gridSpan w:val="2"/>
            <w:vMerge w:val="restart"/>
            <w:tcBorders>
              <w:top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3872/59a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Honeywell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Galaxy 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ústředna EZS, zdroje, akumulátory, klávesnice a příslušenství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3 630,00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6 000,00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7 260,00 Kč</w:t>
            </w:r>
          </w:p>
        </w:tc>
      </w:tr>
      <w:tr>
        <w:trPr>
          <w:trHeight w:val="168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Opto kouřový detektor kouře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110,00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133,10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2 640,00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3 194.40 Kč</w:t>
            </w:r>
          </w:p>
        </w:tc>
      </w:tr>
      <w:tr>
        <w:trPr>
          <w:trHeight w:val="163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Termodiferenciální požární detektor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70,00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84,70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1 680,00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2 032,80 Kč</w:t>
            </w:r>
          </w:p>
        </w:tc>
      </w:tr>
      <w:tr>
        <w:trPr>
          <w:trHeight w:val="168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Magnetický kontakt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70,00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84,70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8 960,00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10 841,60 Kč</w:t>
            </w:r>
          </w:p>
        </w:tc>
      </w:tr>
      <w:tr>
        <w:trPr>
          <w:trHeight w:val="168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Detektor tříštění skla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108,90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1 980,00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2 395,80 Kč</w:t>
            </w:r>
          </w:p>
        </w:tc>
      </w:tr>
      <w:tr>
        <w:trPr>
          <w:trHeight w:val="163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PO26-B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Napájecí zdroj vč. aku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242,00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1 600,00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1 936,00 Kč</w:t>
            </w:r>
          </w:p>
        </w:tc>
      </w:tr>
      <w:tr>
        <w:trPr>
          <w:trHeight w:val="168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Pohybový detektor PIR + duál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80,00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96,80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5 280,00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6 388,80 Kč</w:t>
            </w:r>
          </w:p>
        </w:tc>
      </w:tr>
      <w:tr>
        <w:trPr>
          <w:trHeight w:val="168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Cestovné VRN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1 815,00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3 630.00 Kč</w:t>
            </w:r>
          </w:p>
        </w:tc>
      </w:tr>
      <w:tr>
        <w:trPr>
          <w:trHeight w:val="17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40"/>
              <w:jc w:val="both"/>
              <w:rPr>
                <w:sz w:val="10"/>
                <w:szCs w:val="10"/>
              </w:rPr>
            </w:pPr>
            <w:r>
              <w:rPr>
                <w:rStyle w:val="CharStyle30"/>
                <w:b/>
                <w:bCs/>
                <w:sz w:val="10"/>
                <w:szCs w:val="10"/>
              </w:rPr>
              <w:t>K.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4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tabs>
                <w:tab w:pos="365" w:val="left"/>
              </w:tabs>
              <w:bidi w:val="0"/>
              <w:spacing w:before="0" w:line="18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i</w:t>
              <w:tab/>
              <w:t>I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340"/>
              <w:jc w:val="both"/>
              <w:rPr>
                <w:sz w:val="10"/>
                <w:szCs w:val="10"/>
              </w:rPr>
            </w:pPr>
            <w:r>
              <w:rPr>
                <w:rStyle w:val="CharStyle30"/>
                <w:b/>
                <w:bCs/>
                <w:sz w:val="10"/>
                <w:szCs w:val="10"/>
              </w:rPr>
              <w:t>3</w:t>
            </w:r>
          </w:p>
        </w:tc>
        <w:tc>
          <w:tcPr>
            <w:gridSpan w:val="2"/>
            <w:vMerge w:val="restart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125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L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5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I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Galaxy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GD-256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Zdroje, akumulátory, klávesnice a příslušenství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3 630,00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6 000,00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7 260,00 Kč</w:t>
            </w:r>
          </w:p>
        </w:tc>
      </w:tr>
      <w:tr>
        <w:trPr>
          <w:trHeight w:val="16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Opto kouřový/tepelný detektor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110,00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133,10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1 980,00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2 395,80 Kč</w:t>
            </w:r>
          </w:p>
        </w:tc>
      </w:tr>
      <w:tr>
        <w:trPr>
          <w:trHeight w:val="16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Tísňový hlásič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70,00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84,70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840,00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1 016,40 Kč</w:t>
            </w:r>
          </w:p>
        </w:tc>
      </w:tr>
      <w:tr>
        <w:trPr>
          <w:trHeight w:val="16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Magnetický kontakt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108,90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3 060,00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3 702,60 Kč</w:t>
            </w:r>
          </w:p>
        </w:tc>
      </w:tr>
      <w:tr>
        <w:trPr>
          <w:trHeight w:val="16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Napájecí zdroj vč. aku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242,00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3 200,00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3 872,00 Kč</w:t>
            </w:r>
          </w:p>
        </w:tc>
      </w:tr>
      <w:tr>
        <w:trPr>
          <w:trHeight w:val="16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Pohybový detektor PIR + duál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80,00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96,80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3 360,00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4 065,60 Kč</w:t>
            </w:r>
          </w:p>
        </w:tc>
      </w:tr>
      <w:tr>
        <w:trPr>
          <w:trHeight w:val="16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Detektro tříštění skla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108,90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1 440,00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1 742,40 Kč</w:t>
            </w:r>
          </w:p>
        </w:tc>
      </w:tr>
      <w:tr>
        <w:trPr>
          <w:trHeight w:val="17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Cestovné a VRN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1 900,00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2 299,00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3 800,00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4 598,00 Kč</w:t>
            </w:r>
          </w:p>
        </w:tc>
      </w:tr>
      <w:tr>
        <w:trPr>
          <w:trHeight w:val="173" w:hRule="exact"/>
        </w:trPr>
        <w:tc>
          <w:tcPr>
            <w:gridSpan w:val="3"/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34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VZ Šumná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Galaxy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GD-256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Zdroje, akumulátory, klávesnice a příslušenství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3 630,00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6 000,00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7 260,00 Kč</w:t>
            </w:r>
          </w:p>
        </w:tc>
      </w:tr>
      <w:tr>
        <w:trPr>
          <w:trHeight w:val="168" w:hRule="exact"/>
        </w:trPr>
        <w:tc>
          <w:tcPr>
            <w:gridSpan w:val="3"/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Opto kouřový/tepelný detektor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110,00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133,10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1 980,00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2 395,80 Kč</w:t>
            </w:r>
          </w:p>
        </w:tc>
      </w:tr>
      <w:tr>
        <w:trPr>
          <w:trHeight w:val="163" w:hRule="exact"/>
        </w:trPr>
        <w:tc>
          <w:tcPr>
            <w:gridSpan w:val="3"/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Tísňový hlásič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70,00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84,70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420,00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508,20 Kč</w:t>
            </w:r>
          </w:p>
        </w:tc>
      </w:tr>
      <w:tr>
        <w:trPr>
          <w:trHeight w:val="168" w:hRule="exact"/>
        </w:trPr>
        <w:tc>
          <w:tcPr>
            <w:gridSpan w:val="3"/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Magnetický kontakt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108,90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5 220,00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6 316,20 Kč</w:t>
            </w:r>
          </w:p>
        </w:tc>
      </w:tr>
      <w:tr>
        <w:trPr>
          <w:trHeight w:val="168" w:hRule="exact"/>
        </w:trPr>
        <w:tc>
          <w:tcPr>
            <w:gridSpan w:val="3"/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Pohybový detektor PIR + duál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80,00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96,80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1 760,00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2 129,60 Kč</w:t>
            </w:r>
          </w:p>
        </w:tc>
      </w:tr>
      <w:tr>
        <w:trPr>
          <w:trHeight w:val="163" w:hRule="exact"/>
        </w:trPr>
        <w:tc>
          <w:tcPr>
            <w:gridSpan w:val="3"/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Detektro tříštění skla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108,90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1 620,00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1 960,20 Kč</w:t>
            </w:r>
          </w:p>
        </w:tc>
      </w:tr>
      <w:tr>
        <w:trPr>
          <w:trHeight w:val="168" w:hRule="exact"/>
        </w:trPr>
        <w:tc>
          <w:tcPr>
            <w:gridSpan w:val="3"/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Cestovné a VRN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935,00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1 131,35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1 870,00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sz w:val="12"/>
                <w:szCs w:val="12"/>
              </w:rPr>
              <w:t>2 262,70 Kč</w:t>
            </w:r>
          </w:p>
        </w:tc>
      </w:tr>
      <w:tr>
        <w:trPr>
          <w:trHeight w:val="235" w:hRule="exact"/>
        </w:trPr>
        <w:tc>
          <w:tcPr>
            <w:gridSpan w:val="9"/>
            <w:tcBorders>
              <w:top w:val="single" w:sz="4"/>
              <w:left w:val="single" w:sz="4"/>
              <w:bottom w:val="single" w:sz="4"/>
            </w:tcBorders>
            <w:shd w:val="clear" w:color="auto" w:fill="FEFD32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sz w:val="12"/>
                <w:szCs w:val="12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EFD32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color w:val="2C2001"/>
                <w:sz w:val="12"/>
                <w:szCs w:val="12"/>
              </w:rPr>
              <w:t>199 810,00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EFD32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rStyle w:val="CharStyle30"/>
                <w:b/>
                <w:bCs/>
                <w:color w:val="2C2001"/>
                <w:sz w:val="12"/>
                <w:szCs w:val="12"/>
              </w:rPr>
              <w:t>241 770,10 Kč</w:t>
            </w:r>
          </w:p>
        </w:tc>
      </w:tr>
    </w:tbl>
    <w:sectPr>
      <w:footerReference w:type="default" r:id="rId13"/>
      <w:footerReference w:type="even" r:id="rId14"/>
      <w:footnotePr>
        <w:pos w:val="pageBottom"/>
        <w:numFmt w:val="decimal"/>
        <w:numRestart w:val="continuous"/>
      </w:footnotePr>
      <w:pgSz w:w="12970" w:h="17966"/>
      <w:pgMar w:top="1640" w:right="1173" w:bottom="5912" w:left="713" w:header="1212" w:footer="5484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1306830</wp:posOffset>
              </wp:positionH>
              <wp:positionV relativeFrom="page">
                <wp:posOffset>10577195</wp:posOffset>
              </wp:positionV>
              <wp:extent cx="2115185" cy="14605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1518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11"/>
                              <w:i/>
                              <w:iCs/>
                              <w:sz w:val="22"/>
                              <w:szCs w:val="22"/>
                            </w:rPr>
                            <w:t>Veřejná zakázka 182023: Servis EZS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102.90000000000001pt;margin-top:832.85000000000002pt;width:166.55000000000001pt;height:11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11"/>
                        <w:i/>
                        <w:iCs/>
                        <w:sz w:val="22"/>
                        <w:szCs w:val="22"/>
                      </w:rPr>
                      <w:t>Veřejná zakázka 182023: Servis EZS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1306830</wp:posOffset>
              </wp:positionH>
              <wp:positionV relativeFrom="page">
                <wp:posOffset>10427970</wp:posOffset>
              </wp:positionV>
              <wp:extent cx="2121535" cy="13716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21535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11"/>
                              <w:i/>
                              <w:iCs/>
                              <w:sz w:val="22"/>
                              <w:szCs w:val="22"/>
                            </w:rPr>
                            <w:t>Veřejná zakázka 18_2023: Servis EZS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102.90000000000001pt;margin-top:821.10000000000002pt;width:167.05000000000001pt;height:10.8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11"/>
                        <w:i/>
                        <w:iCs/>
                        <w:sz w:val="22"/>
                        <w:szCs w:val="22"/>
                      </w:rPr>
                      <w:t>Veřejná zakázka 18_2023: Servis EZS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Titulek obrázku_"/>
    <w:basedOn w:val="DefaultParagraphFont"/>
    <w:link w:val="Style5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Záhlaví nebo zápatí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8">
    <w:name w:val="Titulek tabulky_"/>
    <w:basedOn w:val="DefaultParagraphFont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0">
    <w:name w:val="Jiné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Titulek obrázku"/>
    <w:basedOn w:val="Normal"/>
    <w:link w:val="CharStyle6"/>
    <w:pPr>
      <w:widowControl w:val="0"/>
      <w:shd w:val="clear" w:color="auto" w:fill="auto"/>
      <w:spacing w:line="250" w:lineRule="auto"/>
    </w:pPr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auto"/>
      <w:spacing w:after="220"/>
      <w:ind w:right="66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0">
    <w:name w:val="Záhlaví nebo zápatí (2)"/>
    <w:basedOn w:val="Normal"/>
    <w:link w:val="CharStyle1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7">
    <w:name w:val="Titulek tabulky"/>
    <w:basedOn w:val="Normal"/>
    <w:link w:val="CharStyle28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29">
    <w:name w:val="Jiné"/>
    <w:basedOn w:val="Normal"/>
    <w:link w:val="CharStyle30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image" Target="media/image2.png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3.png" TargetMode="External"/><Relationship Id="rId13" Type="http://schemas.openxmlformats.org/officeDocument/2006/relationships/footer" Target="footer3.xml"/><Relationship Id="rId14" Type="http://schemas.openxmlformats.org/officeDocument/2006/relationships/footer" Target="footer4.xml"/></Relationships>
</file>