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7B0D93">
        <w:rPr>
          <w:b/>
          <w:sz w:val="30"/>
        </w:rPr>
        <w:t>OIRM 0014/2023</w:t>
      </w:r>
    </w:p>
    <w:p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B964DD">
        <w:t>xxxxxxxxxxxxxxxxxxxxxxx</w:t>
      </w:r>
    </w:p>
    <w:p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B964DD">
        <w:t>xxxxxxxxxxxxxxxxxxxxxxxxxxxxxxxxxxxx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AE6914" w:rsidRDefault="00AE6914" w:rsidP="00AE6914">
      <w:pPr>
        <w:spacing w:after="0" w:line="240" w:lineRule="auto"/>
        <w:ind w:left="2832" w:hanging="2832"/>
      </w:pPr>
      <w:r>
        <w:t>Cyril Jirouš</w:t>
      </w:r>
    </w:p>
    <w:p w:rsidR="00423855" w:rsidRDefault="00423855" w:rsidP="00107454">
      <w:pPr>
        <w:spacing w:after="0" w:line="240" w:lineRule="auto"/>
        <w:ind w:left="2832" w:hanging="2832"/>
      </w:pPr>
      <w:r>
        <w:t>IČO:</w:t>
      </w:r>
      <w:r w:rsidR="00AE6914">
        <w:t xml:space="preserve"> </w:t>
      </w:r>
      <w:bookmarkStart w:id="0" w:name="_GoBack"/>
      <w:r w:rsidR="00AE6914">
        <w:t>47486180</w:t>
      </w:r>
      <w:bookmarkEnd w:id="0"/>
    </w:p>
    <w:p w:rsidR="00423855" w:rsidRDefault="00423855" w:rsidP="00107454">
      <w:pPr>
        <w:spacing w:after="0" w:line="240" w:lineRule="auto"/>
        <w:ind w:left="2832" w:hanging="2832"/>
      </w:pPr>
      <w:r>
        <w:t>DIČ:</w:t>
      </w:r>
      <w:r w:rsidR="00AE6914">
        <w:t xml:space="preserve"> CZ6911153535</w:t>
      </w:r>
    </w:p>
    <w:p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AE6914">
        <w:t>: K.</w:t>
      </w:r>
      <w:r w:rsidR="007B0D93">
        <w:t xml:space="preserve"> </w:t>
      </w:r>
      <w:r w:rsidR="00AE6914">
        <w:t>Čapka 14, Moravská Třebová</w:t>
      </w:r>
    </w:p>
    <w:p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AE6914">
        <w:t xml:space="preserve"> Cyrilem Jiroušem</w:t>
      </w:r>
    </w:p>
    <w:p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AE6914">
        <w:t xml:space="preserve">: </w:t>
      </w:r>
      <w:r w:rsidR="00B964DD">
        <w:t>xxxxxxxxxxxxxxxxxxxxxxxxxx</w:t>
      </w:r>
    </w:p>
    <w:p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B0D93">
        <w:t xml:space="preserve"> </w:t>
      </w:r>
      <w:r w:rsidR="00AE6914">
        <w:t>Cyril Jirouš</w:t>
      </w:r>
    </w:p>
    <w:p w:rsidR="00423855" w:rsidRPr="00306DBB" w:rsidRDefault="00423855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B964DD" w:rsidP="00107454">
      <w:pPr>
        <w:spacing w:after="0" w:line="240" w:lineRule="auto"/>
        <w:jc w:val="center"/>
      </w:pPr>
      <w:r>
        <w:rPr>
          <w:noProof/>
        </w:rPr>
        <w:pict>
          <v:line id="Přímá spojnice 2" o:spid="_x0000_s1026" style="position:absolute;left:0;text-align:left;z-index:251664384;visibility:visibl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</w:pict>
      </w:r>
    </w:p>
    <w:p w:rsidR="00107454" w:rsidRPr="00306DBB" w:rsidRDefault="00107454" w:rsidP="00107454">
      <w:pP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9C0D08" w:rsidRDefault="009C0D08" w:rsidP="00107454">
      <w:pPr>
        <w:spacing w:after="0" w:line="240" w:lineRule="auto"/>
      </w:pPr>
    </w:p>
    <w:p w:rsidR="009C0D08" w:rsidRPr="00107454" w:rsidRDefault="009C0D08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EC7905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EC7905" w:rsidRPr="00EC7905">
        <w:t>Zámek – obnova fasády a klemp. prvků – jižní strana, Zámecké nám. 185/1</w:t>
      </w:r>
      <w:r w:rsidRPr="00470558">
        <w:t>“</w:t>
      </w:r>
      <w:r w:rsidRPr="00107454">
        <w:t xml:space="preserve">. Předmět díla je blíže specifikován </w:t>
      </w:r>
      <w:r w:rsidRPr="00107454">
        <w:lastRenderedPageBreak/>
        <w:t>v přiloženém nabídkovém rozpočtu, který tvoří 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:rsidR="00107454" w:rsidRPr="007B0D93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4B43AC" w:rsidRPr="007B0D93">
        <w:t xml:space="preserve">do </w:t>
      </w:r>
      <w:r w:rsidR="008B5AEB" w:rsidRPr="007B0D93">
        <w:t>3</w:t>
      </w:r>
      <w:r w:rsidR="004B43AC" w:rsidRPr="007B0D93">
        <w:t>0 dnů od podpisu smlouvy</w:t>
      </w:r>
    </w:p>
    <w:p w:rsidR="00107454" w:rsidRPr="007B0D93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7B0D93">
        <w:t>dokončení prací:</w:t>
      </w:r>
      <w:r w:rsidRPr="007B0D93">
        <w:tab/>
      </w:r>
      <w:r w:rsidR="008B5AEB" w:rsidRPr="007B0D93">
        <w:t>31</w:t>
      </w:r>
      <w:r w:rsidR="00913897" w:rsidRPr="007B0D93">
        <w:t>.</w:t>
      </w:r>
      <w:r w:rsidR="008B5AEB" w:rsidRPr="007B0D93">
        <w:t>10.</w:t>
      </w:r>
      <w:r w:rsidR="00913897" w:rsidRPr="007B0D93">
        <w:t xml:space="preserve"> 2023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:rsidTr="00543F74">
        <w:trPr>
          <w:trHeight w:val="371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:rsidR="00107454" w:rsidRPr="00107454" w:rsidRDefault="00AE6914" w:rsidP="00107454">
            <w:pPr>
              <w:spacing w:after="0" w:line="240" w:lineRule="auto"/>
            </w:pPr>
            <w:r>
              <w:t>763</w:t>
            </w:r>
            <w:r w:rsidR="007B0D93">
              <w:t xml:space="preserve"> </w:t>
            </w:r>
            <w:r>
              <w:t>948,-</w:t>
            </w:r>
            <w:r w:rsidR="00107454" w:rsidRPr="00107454">
              <w:t xml:space="preserve"> Kč</w:t>
            </w:r>
          </w:p>
        </w:tc>
      </w:tr>
      <w:tr w:rsidR="007B0D93" w:rsidRPr="00107454" w:rsidTr="003E3F51">
        <w:trPr>
          <w:trHeight w:val="418"/>
        </w:trPr>
        <w:tc>
          <w:tcPr>
            <w:tcW w:w="7512" w:type="dxa"/>
            <w:gridSpan w:val="2"/>
            <w:vAlign w:val="center"/>
          </w:tcPr>
          <w:p w:rsidR="007B0D93" w:rsidRPr="00107454" w:rsidRDefault="007B0D93" w:rsidP="007B0D93">
            <w:pPr>
              <w:spacing w:after="0" w:line="240" w:lineRule="auto"/>
            </w:pPr>
            <w:r>
              <w:t>DPH</w:t>
            </w:r>
            <w:r w:rsidRPr="00107454">
              <w:t>:</w:t>
            </w:r>
            <w:r>
              <w:t xml:space="preserve">                         160 429,- Kč </w:t>
            </w:r>
            <w:r w:rsidRPr="00107454">
              <w:t>dle platné legislativy</w:t>
            </w:r>
          </w:p>
        </w:tc>
      </w:tr>
      <w:tr w:rsidR="00107454" w:rsidRPr="00107454" w:rsidTr="00543F74">
        <w:trPr>
          <w:trHeight w:val="410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</w:tbl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:rsidR="00107454" w:rsidRDefault="00107454" w:rsidP="008B5AEB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470558">
        <w:t>„</w:t>
      </w:r>
      <w:r w:rsidR="007B0D93" w:rsidRPr="007B0D93">
        <w:t>Zámek – obnova fasády a klemp. prvků – jižní strana, Zámecké nám. 185/1</w:t>
      </w:r>
      <w:r w:rsidR="00683426" w:rsidRPr="00470558">
        <w:t>“</w:t>
      </w:r>
      <w:r w:rsidR="00683426" w:rsidRPr="00107454">
        <w:t>.</w:t>
      </w:r>
    </w:p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atd.) a na poškození způsobená jinými osobami nebo činností třetí osoby.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 xml:space="preserve">Při nezaplacení faktury v termínu splatnosti může zhotovitel účtovat za každý den </w:t>
      </w:r>
      <w:r w:rsidRPr="00107454">
        <w:lastRenderedPageBreak/>
        <w:t>prodlení smluvní pokutu ve výši 0,1 % z dlužné částky.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V případě nesplnění povinností (závazků) vyplývajících z této smlouvy, vzniká straně oprávněné právo účtovat straně povinné tyto smluvní pokuty: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– projektovou dokumentaci v listinné podobě atd.</w:t>
      </w:r>
    </w:p>
    <w:p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</w:t>
      </w:r>
      <w:r w:rsidR="00AE6914">
        <w:t>hradou faktur o více jak 30 dní.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:rsidR="00107454" w:rsidRDefault="00107454" w:rsidP="004B6B15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>Smlouva je v souladu s usnesením rady města č.</w:t>
      </w:r>
      <w:r w:rsidR="007B0D93">
        <w:t xml:space="preserve"> </w:t>
      </w:r>
      <w:r w:rsidR="004B6B15" w:rsidRPr="004B6B15">
        <w:t>390/R/030423</w:t>
      </w:r>
      <w:r w:rsidRPr="00107454">
        <w:t>, kterým bylo schváleno uzavření smlouvy o dílo.</w:t>
      </w:r>
    </w:p>
    <w:p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107454" w:rsidRDefault="00107454" w:rsidP="00107454">
      <w:pPr>
        <w:spacing w:after="0" w:line="240" w:lineRule="auto"/>
      </w:pPr>
    </w:p>
    <w:p w:rsidR="007B0D93" w:rsidRDefault="007B0D93" w:rsidP="00107454">
      <w:pPr>
        <w:spacing w:after="0" w:line="240" w:lineRule="auto"/>
      </w:pPr>
    </w:p>
    <w:p w:rsidR="007B0D93" w:rsidRPr="00107454" w:rsidRDefault="007B0D93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>
        <w:t>V Moravské Třebové dne</w:t>
      </w:r>
      <w:r w:rsidR="007B0D93">
        <w:t xml:space="preserve"> 4.4.2023</w:t>
      </w:r>
      <w:r w:rsidR="007B0D93">
        <w:tab/>
      </w:r>
      <w:r w:rsidR="007B0D93">
        <w:tab/>
      </w:r>
      <w:r w:rsidR="007B0D93">
        <w:tab/>
        <w:t xml:space="preserve">       </w:t>
      </w:r>
      <w:r>
        <w:t>V Moravské Třebové dne</w:t>
      </w:r>
      <w:r w:rsidR="007B0D93">
        <w:t xml:space="preserve"> 4.4.2023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:rsidTr="00543F74">
        <w:tc>
          <w:tcPr>
            <w:tcW w:w="4395" w:type="dxa"/>
          </w:tcPr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:rsidTr="00543F74">
        <w:trPr>
          <w:trHeight w:val="558"/>
        </w:trPr>
        <w:tc>
          <w:tcPr>
            <w:tcW w:w="4395" w:type="dxa"/>
            <w:vAlign w:val="center"/>
          </w:tcPr>
          <w:p w:rsidR="00107454" w:rsidRPr="00107454" w:rsidRDefault="00AE6914" w:rsidP="00107454">
            <w:pPr>
              <w:spacing w:after="0" w:line="240" w:lineRule="auto"/>
            </w:pPr>
            <w:r>
              <w:t>Cyril Jirouš</w:t>
            </w: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FF" w:rsidRDefault="00C743FF">
      <w:pPr>
        <w:spacing w:after="0" w:line="240" w:lineRule="auto"/>
      </w:pPr>
      <w:r>
        <w:separator/>
      </w:r>
    </w:p>
  </w:endnote>
  <w:endnote w:type="continuationSeparator" w:id="0">
    <w:p w:rsidR="00C743FF" w:rsidRDefault="00C7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Pr="00137452" w:rsidRDefault="00B964DD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margin-left:417.2pt;margin-top:0;width:132.4pt;height:29.2pt;z-index:251667968;visibility:visible;mso-wrap-distance-left:0;mso-wrap-distance-right:0;mso-position-horizontal:right;mso-position-horizontal-relative:margin;mso-position-vertical:center;mso-position-vertical-relative:bottom-margin-area;mso-width-relative:margin;mso-height-relative:margin;v-text-anchor:middle" wrapcoords="-122 -554 -122 21046 21722 21046 21722 -554 -122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<v:textbox inset="0,0,0,0">
            <w:txbxContent>
              <w:p w:rsidR="0077127F" w:rsidRPr="00B329F8" w:rsidRDefault="0077127F" w:rsidP="00125787">
                <w:pPr>
                  <w:spacing w:line="240" w:lineRule="auto"/>
                  <w:jc w:val="right"/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</w:pPr>
                <w:r w:rsidRPr="00B329F8"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  <w:t>+</w:t>
                </w:r>
              </w:p>
            </w:txbxContent>
          </v:textbox>
          <w10:wrap type="through" anchorx="margin" anchory="margin"/>
        </v:shape>
      </w:pict>
    </w:r>
    <w:r>
      <w:rPr>
        <w:rFonts w:ascii="Solomon Book" w:hAnsi="Solomon Book"/>
        <w:noProof/>
        <w:sz w:val="16"/>
      </w:rPr>
      <w:pict>
        <v:shape id="_x0000_s14337" type="#_x0000_t202" style="position:absolute;margin-left:0;margin-top:0;width:103.75pt;height:13.05pt;z-index:251670016;visibility:visible;mso-wrap-distance-top:3.6pt;mso-wrap-distance-bottom:3.6pt;mso-position-horizontal:center;mso-position-horizontal-relative:text;mso-position-vertical:center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<v:textbox inset="0,0,0,0">
            <w:txbxContent>
              <w:p w:rsidR="0077127F" w:rsidRPr="001C6E55" w:rsidRDefault="00897659" w:rsidP="002E5A64">
                <w:pPr>
                  <w:jc w:val="center"/>
                  <w:rPr>
                    <w:rFonts w:cs="Open Sans"/>
                    <w:sz w:val="20"/>
                    <w:szCs w:val="20"/>
                  </w:rPr>
                </w:pPr>
                <w:r w:rsidRPr="001C6E55">
                  <w:rPr>
                    <w:rFonts w:cs="Open Sans"/>
                    <w:sz w:val="20"/>
                    <w:szCs w:val="20"/>
                  </w:rPr>
                  <w:fldChar w:fldCharType="begin"/>
                </w:r>
                <w:r w:rsidR="0077127F" w:rsidRPr="001C6E55">
                  <w:rPr>
                    <w:rFonts w:cs="Open Sans"/>
                    <w:sz w:val="20"/>
                    <w:szCs w:val="20"/>
                  </w:rPr>
                  <w:instrText>PAGE   \* MERGEFORMAT</w:instrTex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separate"/>
                </w:r>
                <w:r w:rsidR="00B964DD">
                  <w:rPr>
                    <w:rFonts w:cs="Open Sans"/>
                    <w:noProof/>
                    <w:sz w:val="20"/>
                    <w:szCs w:val="20"/>
                  </w:rPr>
                  <w:t>2</w: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FF" w:rsidRDefault="00C743FF">
      <w:pPr>
        <w:spacing w:after="0" w:line="240" w:lineRule="auto"/>
      </w:pPr>
      <w:r>
        <w:separator/>
      </w:r>
    </w:p>
  </w:footnote>
  <w:footnote w:type="continuationSeparator" w:id="0">
    <w:p w:rsidR="00C743FF" w:rsidRDefault="00C7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Default="00B964DD" w:rsidP="00C57907">
    <w:pPr>
      <w:pStyle w:val="Zhlav"/>
      <w:tabs>
        <w:tab w:val="clear" w:pos="8788"/>
        <w:tab w:val="right" w:pos="76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4339" type="#_x0000_t202" style="position:absolute;left:0;text-align:left;margin-left:446.95pt;margin-top:0;width:138.35pt;height:41.65pt;z-index:251665920;visibility:visible;mso-position-horizontal:right;mso-position-horizontal-relative:margin;mso-position-vertical:center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<v:textbox style="mso-fit-shape-to-text:t" inset="0,0,0,0">
            <w:txbxContent>
              <w:p w:rsidR="0077127F" w:rsidRPr="007A336C" w:rsidRDefault="0077127F" w:rsidP="004A78AD">
                <w:pPr>
                  <w:spacing w:after="0" w:line="240" w:lineRule="auto"/>
                  <w:jc w:val="right"/>
                  <w:rPr>
                    <w:rFonts w:cs="Open Sans"/>
                    <w:sz w:val="16"/>
                    <w:szCs w:val="16"/>
                  </w:rPr>
                </w:pPr>
                <w:r w:rsidRPr="007A336C">
                  <w:rPr>
                    <w:rFonts w:cs="Open Sans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926C8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F7F2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306DBB"/>
    <w:rsid w:val="003270E5"/>
    <w:rsid w:val="003371AF"/>
    <w:rsid w:val="003439F5"/>
    <w:rsid w:val="00385D6B"/>
    <w:rsid w:val="003C34C4"/>
    <w:rsid w:val="003D7EB6"/>
    <w:rsid w:val="00423855"/>
    <w:rsid w:val="00426EB7"/>
    <w:rsid w:val="00447769"/>
    <w:rsid w:val="004544F0"/>
    <w:rsid w:val="00470558"/>
    <w:rsid w:val="00470F5B"/>
    <w:rsid w:val="004832CD"/>
    <w:rsid w:val="0049246B"/>
    <w:rsid w:val="00492D48"/>
    <w:rsid w:val="004A78AD"/>
    <w:rsid w:val="004B43AC"/>
    <w:rsid w:val="004B6B15"/>
    <w:rsid w:val="004C1F6E"/>
    <w:rsid w:val="004D1DB3"/>
    <w:rsid w:val="00500C8D"/>
    <w:rsid w:val="00544757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83426"/>
    <w:rsid w:val="00696782"/>
    <w:rsid w:val="006B1E36"/>
    <w:rsid w:val="006C64DA"/>
    <w:rsid w:val="006D6B07"/>
    <w:rsid w:val="006E0F0C"/>
    <w:rsid w:val="007363D2"/>
    <w:rsid w:val="00742CEC"/>
    <w:rsid w:val="00765E32"/>
    <w:rsid w:val="0077127F"/>
    <w:rsid w:val="007A16D4"/>
    <w:rsid w:val="007A336C"/>
    <w:rsid w:val="007B0D93"/>
    <w:rsid w:val="00821885"/>
    <w:rsid w:val="0084228A"/>
    <w:rsid w:val="00846C9D"/>
    <w:rsid w:val="0085748C"/>
    <w:rsid w:val="008926C8"/>
    <w:rsid w:val="00897659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E6914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964DD"/>
    <w:rsid w:val="00BB4A73"/>
    <w:rsid w:val="00BC4E7C"/>
    <w:rsid w:val="00C1633B"/>
    <w:rsid w:val="00C47E8D"/>
    <w:rsid w:val="00C52AA3"/>
    <w:rsid w:val="00C57907"/>
    <w:rsid w:val="00C62AF5"/>
    <w:rsid w:val="00C65F53"/>
    <w:rsid w:val="00C743FF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C7905"/>
    <w:rsid w:val="00EE6EB8"/>
    <w:rsid w:val="00EF2112"/>
    <w:rsid w:val="00F02328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oNotEmbedSmartTags/>
  <w:decimalSymbol w:val=","/>
  <w:listSeparator w:val=";"/>
  <w15:docId w15:val="{5C14D8E9-1742-4CF5-9F1F-CA685F3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  <w:rsid w:val="00897659"/>
  </w:style>
  <w:style w:type="character" w:customStyle="1" w:styleId="WW-Absatz-Standardschriftart1">
    <w:name w:val="WW-Absatz-Standardschriftart1"/>
    <w:rsid w:val="00897659"/>
  </w:style>
  <w:style w:type="character" w:customStyle="1" w:styleId="WW-Absatz-Standardschriftart11">
    <w:name w:val="WW-Absatz-Standardschriftart11"/>
    <w:rsid w:val="00897659"/>
  </w:style>
  <w:style w:type="character" w:customStyle="1" w:styleId="WW-Absatz-Standardschriftart111">
    <w:name w:val="WW-Absatz-Standardschriftart111"/>
    <w:rsid w:val="00897659"/>
  </w:style>
  <w:style w:type="character" w:customStyle="1" w:styleId="WW-Absatz-Standardschriftart1111">
    <w:name w:val="WW-Absatz-Standardschriftart1111"/>
    <w:rsid w:val="00897659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rsid w:val="00897659"/>
    <w:pPr>
      <w:spacing w:after="120"/>
    </w:pPr>
  </w:style>
  <w:style w:type="paragraph" w:styleId="Seznam">
    <w:name w:val="List"/>
    <w:basedOn w:val="Zkladntext"/>
    <w:rsid w:val="00897659"/>
    <w:rPr>
      <w:rFonts w:cs="Tahoma"/>
    </w:rPr>
  </w:style>
  <w:style w:type="paragraph" w:customStyle="1" w:styleId="Titulek1">
    <w:name w:val="Titulek1"/>
    <w:basedOn w:val="Normln"/>
    <w:rsid w:val="008976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rsid w:val="00897659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rsid w:val="0089765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33d52b5-23bc-41ed-be7e-bf6aa4102f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0E8972-176A-493F-B328-0CB43AAB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Eva Štěpařová</cp:lastModifiedBy>
  <cp:revision>30</cp:revision>
  <cp:lastPrinted>2023-04-04T08:25:00Z</cp:lastPrinted>
  <dcterms:created xsi:type="dcterms:W3CDTF">2022-10-24T19:30:00Z</dcterms:created>
  <dcterms:modified xsi:type="dcterms:W3CDTF">2023-04-06T08:37:00Z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