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1C6" w:rsidRDefault="009E0635">
      <w:pPr>
        <w:pStyle w:val="Zkladntext30"/>
        <w:shd w:val="clear" w:color="auto" w:fill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445770" distL="114300" distR="114300" simplePos="0" relativeHeight="125829378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939800</wp:posOffset>
                </wp:positionV>
                <wp:extent cx="5462270" cy="12712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70" cy="1271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6322"/>
                            </w:tblGrid>
                            <w:tr w:rsidR="001A71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Název společnosti:</w:t>
                                  </w:r>
                                </w:p>
                              </w:tc>
                              <w:tc>
                                <w:tcPr>
                                  <w:tcW w:w="6322" w:type="dxa"/>
                                  <w:shd w:val="clear" w:color="auto" w:fill="D5D8D9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40"/>
                                  </w:pPr>
                                  <w:r>
                                    <w:t>Výzkumný ústav živočišné výroby, v. v. i.</w:t>
                                  </w:r>
                                </w:p>
                              </w:tc>
                            </w:tr>
                            <w:tr w:rsidR="001A71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280" w:type="dxa"/>
                                  <w:shd w:val="clear" w:color="auto" w:fill="FFFFFF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Sídlo:</w:t>
                                  </w:r>
                                </w:p>
                              </w:tc>
                              <w:tc>
                                <w:tcPr>
                                  <w:tcW w:w="6322" w:type="dxa"/>
                                  <w:shd w:val="clear" w:color="auto" w:fill="D5D8D9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40"/>
                                  </w:pPr>
                                  <w:r>
                                    <w:t>Přátelství 815/109,104 00 Praha Uhříněves</w:t>
                                  </w:r>
                                </w:p>
                              </w:tc>
                            </w:tr>
                            <w:tr w:rsidR="001A71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Adresa pro písemný styk:</w:t>
                                  </w:r>
                                </w:p>
                              </w:tc>
                              <w:tc>
                                <w:tcPr>
                                  <w:tcW w:w="6322" w:type="dxa"/>
                                  <w:shd w:val="clear" w:color="auto" w:fill="D5D8D9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40"/>
                                  </w:pPr>
                                  <w:r>
                                    <w:t>Přátelství 815,104 00 Praha Uhříněves</w:t>
                                  </w:r>
                                </w:p>
                              </w:tc>
                            </w:tr>
                            <w:tr w:rsidR="001A71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zastoupená:</w:t>
                                  </w:r>
                                </w:p>
                              </w:tc>
                              <w:tc>
                                <w:tcPr>
                                  <w:tcW w:w="6322" w:type="dxa"/>
                                  <w:shd w:val="clear" w:color="auto" w:fill="D5D8D9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40"/>
                                  </w:pPr>
                                  <w:r>
                                    <w:t>Dr. Ing. Pavel Čermák, ředitel</w:t>
                                  </w:r>
                                </w:p>
                              </w:tc>
                            </w:tr>
                            <w:tr w:rsidR="001A71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280" w:type="dxa"/>
                                  <w:shd w:val="clear" w:color="auto" w:fill="FFFFFF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IČ: 00027014</w:t>
                                  </w:r>
                                </w:p>
                              </w:tc>
                              <w:tc>
                                <w:tcPr>
                                  <w:tcW w:w="6322" w:type="dxa"/>
                                  <w:shd w:val="clear" w:color="auto" w:fill="D5D8D9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40"/>
                                  </w:pPr>
                                  <w:r>
                                    <w:t>DIČ: CZ00027014</w:t>
                                  </w:r>
                                </w:p>
                              </w:tc>
                            </w:tr>
                            <w:tr w:rsidR="001A71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6322" w:type="dxa"/>
                                  <w:shd w:val="clear" w:color="auto" w:fill="FFFFFF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252"/>
                                      <w:tab w:val="left" w:pos="3668"/>
                                    </w:tabs>
                                    <w:spacing w:after="0"/>
                                    <w:ind w:firstLine="140"/>
                                  </w:pPr>
                                  <w:r>
                                    <w:t>Komerční banka</w:t>
                                  </w:r>
                                  <w:r>
                                    <w:tab/>
                                    <w:t>číslo účtu</w:t>
                                  </w:r>
                                </w:p>
                              </w:tc>
                            </w:tr>
                            <w:tr w:rsidR="001A71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8602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1A71C6" w:rsidRDefault="009E063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spellStart"/>
                                  <w:r>
                                    <w:t>ako</w:t>
                                  </w:r>
                                  <w:proofErr w:type="spellEnd"/>
                                  <w:r>
                                    <w:t xml:space="preserve"> uživatel na straně jedné (dále také jako „uživatel")</w:t>
                                  </w:r>
                                </w:p>
                              </w:tc>
                            </w:tr>
                          </w:tbl>
                          <w:p w:rsidR="001A71C6" w:rsidRDefault="001A71C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8.6pt;margin-top:74pt;width:430.1pt;height:100.1pt;z-index:125829378;visibility:visible;mso-wrap-style:square;mso-wrap-distance-left:9pt;mso-wrap-distance-top:0;mso-wrap-distance-right:9pt;mso-wrap-distance-bottom:3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6322"/>
                      </w:tblGrid>
                      <w:tr w:rsidR="001A71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Název společnosti:</w:t>
                            </w:r>
                          </w:p>
                        </w:tc>
                        <w:tc>
                          <w:tcPr>
                            <w:tcW w:w="6322" w:type="dxa"/>
                            <w:shd w:val="clear" w:color="auto" w:fill="D5D8D9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40"/>
                            </w:pPr>
                            <w:r>
                              <w:t>Výzkumný ústav živočišné výroby, v. v. i.</w:t>
                            </w:r>
                          </w:p>
                        </w:tc>
                      </w:tr>
                      <w:tr w:rsidR="001A71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280" w:type="dxa"/>
                            <w:shd w:val="clear" w:color="auto" w:fill="FFFFFF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Sídlo:</w:t>
                            </w:r>
                          </w:p>
                        </w:tc>
                        <w:tc>
                          <w:tcPr>
                            <w:tcW w:w="6322" w:type="dxa"/>
                            <w:shd w:val="clear" w:color="auto" w:fill="D5D8D9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40"/>
                            </w:pPr>
                            <w:r>
                              <w:t>Přátelství 815/109,104 00 Praha Uhříněves</w:t>
                            </w:r>
                          </w:p>
                        </w:tc>
                      </w:tr>
                      <w:tr w:rsidR="001A71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Adresa pro písemný styk:</w:t>
                            </w:r>
                          </w:p>
                        </w:tc>
                        <w:tc>
                          <w:tcPr>
                            <w:tcW w:w="6322" w:type="dxa"/>
                            <w:shd w:val="clear" w:color="auto" w:fill="D5D8D9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40"/>
                            </w:pPr>
                            <w:r>
                              <w:t>Přátelství 815,104 00 Praha Uhříněves</w:t>
                            </w:r>
                          </w:p>
                        </w:tc>
                      </w:tr>
                      <w:tr w:rsidR="001A71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zastoupená:</w:t>
                            </w:r>
                          </w:p>
                        </w:tc>
                        <w:tc>
                          <w:tcPr>
                            <w:tcW w:w="6322" w:type="dxa"/>
                            <w:shd w:val="clear" w:color="auto" w:fill="D5D8D9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40"/>
                            </w:pPr>
                            <w:r>
                              <w:t>Dr. Ing. Pavel Čermák, ředitel</w:t>
                            </w:r>
                          </w:p>
                        </w:tc>
                      </w:tr>
                      <w:tr w:rsidR="001A71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280" w:type="dxa"/>
                            <w:shd w:val="clear" w:color="auto" w:fill="FFFFFF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IČ: 00027014</w:t>
                            </w:r>
                          </w:p>
                        </w:tc>
                        <w:tc>
                          <w:tcPr>
                            <w:tcW w:w="6322" w:type="dxa"/>
                            <w:shd w:val="clear" w:color="auto" w:fill="D5D8D9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40"/>
                            </w:pPr>
                            <w:r>
                              <w:t>DIČ: CZ00027014</w:t>
                            </w:r>
                          </w:p>
                        </w:tc>
                      </w:tr>
                      <w:tr w:rsidR="001A71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Bankovní spojení:</w:t>
                            </w:r>
                          </w:p>
                        </w:tc>
                        <w:tc>
                          <w:tcPr>
                            <w:tcW w:w="6322" w:type="dxa"/>
                            <w:shd w:val="clear" w:color="auto" w:fill="FFFFFF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tabs>
                                <w:tab w:val="left" w:pos="2252"/>
                                <w:tab w:val="left" w:pos="3668"/>
                              </w:tabs>
                              <w:spacing w:after="0"/>
                              <w:ind w:firstLine="140"/>
                            </w:pPr>
                            <w:r>
                              <w:t>Komerční banka</w:t>
                            </w:r>
                            <w:r>
                              <w:tab/>
                              <w:t>číslo účtu</w:t>
                            </w:r>
                          </w:p>
                        </w:tc>
                      </w:tr>
                      <w:tr w:rsidR="001A71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8602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1A71C6" w:rsidRDefault="009E063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ako</w:t>
                            </w:r>
                            <w:proofErr w:type="spellEnd"/>
                            <w:r>
                              <w:t xml:space="preserve"> uživatel na straně jedné (dále také jako „uživatel")</w:t>
                            </w:r>
                          </w:p>
                        </w:tc>
                      </w:tr>
                    </w:tbl>
                    <w:p w:rsidR="001A71C6" w:rsidRDefault="001A71C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2366010</wp:posOffset>
                </wp:positionV>
                <wp:extent cx="97790" cy="2012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1C6" w:rsidRDefault="009E0635">
                            <w:pPr>
                              <w:pStyle w:val="Titulektabulky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141.25pt;margin-top:186.3pt;width:7.7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" filled="f" stroked="f">
                <v:textbox inset="0,0,0,0">
                  <w:txbxContent>
                    <w:p w:rsidR="001A71C6" w:rsidRDefault="009E0635">
                      <w:pPr>
                        <w:pStyle w:val="Titulektabulky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Smlouva o údržbě systému Byznys</w:t>
      </w:r>
    </w:p>
    <w:p w:rsidR="001A71C6" w:rsidRDefault="001A71C6">
      <w:pPr>
        <w:spacing w:after="99" w:line="1" w:lineRule="exact"/>
      </w:pPr>
    </w:p>
    <w:p w:rsidR="001A71C6" w:rsidRDefault="009E0635">
      <w:pPr>
        <w:pStyle w:val="Titulektabulky0"/>
        <w:shd w:val="clear" w:color="auto" w:fill="auto"/>
        <w:jc w:val="center"/>
      </w:pPr>
      <w:r>
        <w:rPr>
          <w:b/>
          <w:bCs/>
        </w:rPr>
        <w:t>Dodavatel: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6250"/>
      </w:tblGrid>
      <w:tr w:rsidR="001A71C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34" w:type="dxa"/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Název společnosti:</w:t>
            </w:r>
          </w:p>
        </w:tc>
        <w:tc>
          <w:tcPr>
            <w:tcW w:w="6250" w:type="dxa"/>
            <w:shd w:val="clear" w:color="auto" w:fill="D5D8D9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proofErr w:type="spellStart"/>
            <w:r>
              <w:t>Seyfor</w:t>
            </w:r>
            <w:proofErr w:type="spellEnd"/>
            <w:r>
              <w:t>, a.s.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34" w:type="dxa"/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6250" w:type="dxa"/>
            <w:shd w:val="clear" w:color="auto" w:fill="D5D8D9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 xml:space="preserve">Drobného 555/49, </w:t>
            </w:r>
            <w:proofErr w:type="spellStart"/>
            <w:r>
              <w:t>Ponava</w:t>
            </w:r>
            <w:proofErr w:type="spellEnd"/>
            <w:r>
              <w:t>, 602 00</w:t>
            </w:r>
            <w:r>
              <w:t xml:space="preserve"> Brno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34" w:type="dxa"/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Adresa pro písemný styk:</w:t>
            </w:r>
          </w:p>
        </w:tc>
        <w:tc>
          <w:tcPr>
            <w:tcW w:w="6250" w:type="dxa"/>
            <w:shd w:val="clear" w:color="auto" w:fill="D5D8D9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Žižkova 708,261 01 Příbram II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34" w:type="dxa"/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6250" w:type="dxa"/>
            <w:shd w:val="clear" w:color="auto" w:fill="D5D8D9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Iveta Střížová, na základě plné moci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34" w:type="dxa"/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IČ: 01572377</w:t>
            </w:r>
          </w:p>
        </w:tc>
        <w:tc>
          <w:tcPr>
            <w:tcW w:w="6250" w:type="dxa"/>
            <w:shd w:val="clear" w:color="auto" w:fill="D5D8D9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DIČ. CZ01572377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434" w:type="dxa"/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Bankovní spojení:</w:t>
            </w:r>
          </w:p>
        </w:tc>
        <w:tc>
          <w:tcPr>
            <w:tcW w:w="6250" w:type="dxa"/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tabs>
                <w:tab w:val="left" w:pos="2160"/>
                <w:tab w:val="left" w:pos="3581"/>
              </w:tabs>
              <w:spacing w:after="0"/>
            </w:pPr>
            <w:r>
              <w:t>Komerční banka</w:t>
            </w:r>
            <w:r>
              <w:tab/>
              <w:t>číslo účtu</w:t>
            </w:r>
            <w:r>
              <w:tab/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84" w:type="dxa"/>
            <w:gridSpan w:val="2"/>
            <w:shd w:val="clear" w:color="auto" w:fill="D5D8D9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</w:pPr>
            <w:r>
              <w:t>Zapsaná v obchodním rejstříku vedeném: KS v Brně</w:t>
            </w:r>
            <w:r>
              <w:t xml:space="preserve"> oddíl B vložka 7072</w:t>
            </w:r>
          </w:p>
        </w:tc>
      </w:tr>
    </w:tbl>
    <w:p w:rsidR="001A71C6" w:rsidRDefault="009E0635">
      <w:pPr>
        <w:pStyle w:val="Titulektabulky0"/>
        <w:shd w:val="clear" w:color="auto" w:fill="auto"/>
      </w:pPr>
      <w:r>
        <w:t>Jako dodavatel na straně druhé (dále také jako „dodavatel")</w:t>
      </w:r>
    </w:p>
    <w:p w:rsidR="001A71C6" w:rsidRDefault="001A71C6">
      <w:pPr>
        <w:spacing w:after="579" w:line="1" w:lineRule="exact"/>
      </w:pPr>
    </w:p>
    <w:p w:rsidR="001A71C6" w:rsidRDefault="009E0635">
      <w:pPr>
        <w:pStyle w:val="Zkladntext1"/>
        <w:shd w:val="clear" w:color="auto" w:fill="auto"/>
        <w:spacing w:after="580"/>
      </w:pPr>
      <w:r>
        <w:t>uzavírají mezi sebou tuto Smlouvu o údržbě systému Byznys (dále jen systém) a uživatelské podpoře.</w:t>
      </w:r>
    </w:p>
    <w:p w:rsidR="001A71C6" w:rsidRDefault="009E06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97"/>
        </w:tabs>
        <w:spacing w:after="280" w:line="240" w:lineRule="auto"/>
      </w:pPr>
      <w:bookmarkStart w:id="1" w:name="bookmark0"/>
      <w:bookmarkStart w:id="2" w:name="bookmark1"/>
      <w:r>
        <w:t>Předmět smlouvy</w:t>
      </w:r>
      <w:bookmarkEnd w:id="1"/>
      <w:bookmarkEnd w:id="2"/>
    </w:p>
    <w:p w:rsidR="001A71C6" w:rsidRDefault="009E0635">
      <w:pPr>
        <w:pStyle w:val="Zkladntext1"/>
        <w:shd w:val="clear" w:color="auto" w:fill="auto"/>
        <w:spacing w:after="280"/>
      </w:pPr>
      <w:r>
        <w:t>Předmětem této smlouvy je zabezpečení dostupnosti aktuální</w:t>
      </w:r>
      <w:r>
        <w:t xml:space="preserve"> kompilace systému pro Uživatele (on premise licence nebo licence v pronájmu) a poskytování následujících uživatelských výhod: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700" w:hanging="340"/>
        <w:jc w:val="both"/>
      </w:pPr>
      <w:r>
        <w:t>sleva 20 procent na veškeré konzultační, analytické a programátorské služby z ceníkových cen, dle aktuálního platného ceníku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firstLine="360"/>
      </w:pPr>
      <w:r>
        <w:t>tele</w:t>
      </w:r>
      <w:r>
        <w:t xml:space="preserve">fonní podpora </w:t>
      </w:r>
      <w:proofErr w:type="spellStart"/>
      <w:r>
        <w:t>HotLine</w:t>
      </w:r>
      <w:proofErr w:type="spellEnd"/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firstLine="360"/>
        <w:jc w:val="both"/>
      </w:pPr>
      <w:r>
        <w:t xml:space="preserve">email </w:t>
      </w:r>
      <w:proofErr w:type="spellStart"/>
      <w:r>
        <w:t>HotLine</w:t>
      </w:r>
      <w:proofErr w:type="spellEnd"/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firstLine="360"/>
      </w:pPr>
      <w:r>
        <w:t>možnost realizace vzdáleného přístupu dodavatel-uživatel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firstLine="360"/>
      </w:pPr>
      <w:r>
        <w:t>možnost uzavření pravidelného dohledu nad rutinním provozem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firstLine="360"/>
      </w:pPr>
      <w:r>
        <w:t>možná realizace programátorských prací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697"/>
        </w:tabs>
        <w:spacing w:after="60"/>
        <w:ind w:firstLine="360"/>
        <w:sectPr w:rsidR="001A71C6">
          <w:pgSz w:w="11900" w:h="16840"/>
          <w:pgMar w:top="699" w:right="943" w:bottom="1376" w:left="1452" w:header="0" w:footer="3" w:gutter="0"/>
          <w:cols w:space="720"/>
          <w:noEndnote/>
          <w:docGrid w:linePitch="360"/>
        </w:sectPr>
      </w:pPr>
      <w:r>
        <w:t xml:space="preserve">podpora individuálně vytvořených </w:t>
      </w:r>
      <w:r>
        <w:t>uživatelských úprav</w:t>
      </w:r>
    </w:p>
    <w:p w:rsidR="001A71C6" w:rsidRDefault="009E06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92"/>
        </w:tabs>
        <w:spacing w:after="200" w:line="240" w:lineRule="auto"/>
      </w:pPr>
      <w:bookmarkStart w:id="3" w:name="bookmark2"/>
      <w:bookmarkStart w:id="4" w:name="bookmark3"/>
      <w:r>
        <w:lastRenderedPageBreak/>
        <w:t>Konfigurace systému</w:t>
      </w:r>
      <w:bookmarkEnd w:id="3"/>
      <w:bookmarkEnd w:id="4"/>
    </w:p>
    <w:p w:rsidR="001A71C6" w:rsidRDefault="009E0635">
      <w:pPr>
        <w:pStyle w:val="Zkladntext1"/>
        <w:shd w:val="clear" w:color="auto" w:fill="auto"/>
        <w:spacing w:after="0"/>
        <w:jc w:val="both"/>
      </w:pPr>
      <w:r>
        <w:t>Byznys B6</w:t>
      </w:r>
    </w:p>
    <w:p w:rsidR="001A71C6" w:rsidRDefault="009E0635">
      <w:pPr>
        <w:pStyle w:val="Titulektabulky0"/>
        <w:shd w:val="clear" w:color="auto" w:fill="auto"/>
        <w:tabs>
          <w:tab w:val="left" w:pos="1373"/>
        </w:tabs>
        <w:ind w:left="10"/>
      </w:pPr>
      <w:r>
        <w:t>LAN</w:t>
      </w:r>
      <w:r>
        <w:tab/>
        <w:t>MONOVERZE</w:t>
      </w:r>
    </w:p>
    <w:p w:rsidR="001A71C6" w:rsidRDefault="009E0635">
      <w:pPr>
        <w:pStyle w:val="Titulektabulky0"/>
        <w:shd w:val="clear" w:color="auto" w:fill="auto"/>
        <w:tabs>
          <w:tab w:val="left" w:pos="4498"/>
        </w:tabs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Modul</w:t>
      </w:r>
      <w:r>
        <w:rPr>
          <w:rFonts w:ascii="Arial" w:eastAsia="Arial" w:hAnsi="Arial" w:cs="Arial"/>
          <w:i/>
          <w:iCs/>
          <w:sz w:val="20"/>
          <w:szCs w:val="20"/>
        </w:rPr>
        <w:tab/>
        <w:t>počet přístupů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1637"/>
        <w:gridCol w:w="2045"/>
      </w:tblGrid>
      <w:tr w:rsidR="001A71C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Bankovní operace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Byznys </w:t>
            </w:r>
            <w:r>
              <w:rPr>
                <w:b/>
                <w:bCs/>
                <w:sz w:val="19"/>
                <w:szCs w:val="19"/>
                <w:lang w:val="en-US" w:eastAsia="en-US" w:bidi="en-US"/>
              </w:rPr>
              <w:t>online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licence na instalaci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CRM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CSD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licence na instalaci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proofErr w:type="gramStart"/>
            <w:r>
              <w:rPr>
                <w:b/>
                <w:bCs/>
                <w:sz w:val="19"/>
                <w:szCs w:val="19"/>
              </w:rPr>
              <w:t>Doprava - dispečink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170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 dle automobilů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eNeschopenka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licence na instalaci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Evidence majetku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Excellent </w:t>
            </w:r>
            <w:r>
              <w:rPr>
                <w:b/>
                <w:bCs/>
                <w:sz w:val="19"/>
                <w:szCs w:val="19"/>
              </w:rPr>
              <w:t>- finanční analýza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pojmenovaný uživatel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Excellent </w:t>
            </w:r>
            <w:r>
              <w:rPr>
                <w:b/>
                <w:bCs/>
                <w:sz w:val="19"/>
                <w:szCs w:val="19"/>
              </w:rPr>
              <w:t>- generátor sestav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pojmenovaný uživatel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Excellent </w:t>
            </w:r>
            <w:r>
              <w:rPr>
                <w:b/>
                <w:bCs/>
                <w:sz w:val="19"/>
                <w:szCs w:val="19"/>
              </w:rPr>
              <w:t>- statistické výkazy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pojmenovaný uživatel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Excellent - </w:t>
            </w:r>
            <w:r>
              <w:rPr>
                <w:b/>
                <w:bCs/>
                <w:sz w:val="19"/>
                <w:szCs w:val="19"/>
              </w:rPr>
              <w:t>středisková analýza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pojmenovaný uživatel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Fakturace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70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Finanční účetnictví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GDPR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licence na instalaci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Informace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220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Jádro systému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220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pojmenovaný uživatel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Manažer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Mzdy a </w:t>
            </w:r>
            <w:r>
              <w:rPr>
                <w:b/>
                <w:bCs/>
                <w:sz w:val="19"/>
                <w:szCs w:val="19"/>
              </w:rPr>
              <w:t>personalistika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300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 počet zaměstnanců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Pokladna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Power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Bl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- Ekonomika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můstek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Skladové hospodářství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  <w:tr w:rsidR="001A71C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Zakázky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jc w:val="center"/>
            </w:pPr>
            <w:r>
              <w:t>70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1C6" w:rsidRDefault="009E0635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souběžné licence</w:t>
            </w:r>
          </w:p>
        </w:tc>
      </w:tr>
    </w:tbl>
    <w:p w:rsidR="001A71C6" w:rsidRDefault="001A71C6">
      <w:pPr>
        <w:spacing w:after="519" w:line="1" w:lineRule="exact"/>
      </w:pPr>
    </w:p>
    <w:p w:rsidR="001A71C6" w:rsidRDefault="009E06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92"/>
        </w:tabs>
        <w:spacing w:line="240" w:lineRule="auto"/>
      </w:pPr>
      <w:bookmarkStart w:id="5" w:name="bookmark4"/>
      <w:bookmarkStart w:id="6" w:name="bookmark5"/>
      <w:r>
        <w:t>Platnost a ukončení smlouvy</w:t>
      </w:r>
      <w:bookmarkEnd w:id="5"/>
      <w:bookmarkEnd w:id="6"/>
    </w:p>
    <w:p w:rsidR="001A71C6" w:rsidRDefault="009E0635">
      <w:pPr>
        <w:pStyle w:val="Zkladntext1"/>
        <w:shd w:val="clear" w:color="auto" w:fill="auto"/>
      </w:pPr>
      <w:r>
        <w:t xml:space="preserve">Tato Smlouvaje uzavírána na systém od 1.1.2023 na dobu </w:t>
      </w:r>
      <w:r>
        <w:t>neurčitou.</w:t>
      </w:r>
    </w:p>
    <w:p w:rsidR="001A71C6" w:rsidRDefault="009E0635">
      <w:pPr>
        <w:pStyle w:val="Zkladntext1"/>
        <w:shd w:val="clear" w:color="auto" w:fill="auto"/>
        <w:spacing w:after="0"/>
      </w:pPr>
      <w:r>
        <w:t>Tato Smlouva může být ukončena:</w:t>
      </w:r>
    </w:p>
    <w:p w:rsidR="001A71C6" w:rsidRDefault="009E0635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after="0"/>
        <w:ind w:firstLine="360"/>
        <w:jc w:val="both"/>
      </w:pPr>
      <w:r>
        <w:t>písemnou dohodou obou smluvních stran</w:t>
      </w:r>
    </w:p>
    <w:p w:rsidR="001A71C6" w:rsidRDefault="009E0635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ind w:firstLine="360"/>
        <w:jc w:val="both"/>
      </w:pPr>
      <w:r>
        <w:t>písemnou výpovědí jedné ze smluvních stran</w:t>
      </w:r>
    </w:p>
    <w:p w:rsidR="001A71C6" w:rsidRDefault="009E0635">
      <w:pPr>
        <w:pStyle w:val="Zkladntext1"/>
        <w:shd w:val="clear" w:color="auto" w:fill="auto"/>
      </w:pPr>
      <w:r>
        <w:t>Výpovědní lhůta je šest měsíců a počíná běžet od prvního dne měsíce následujícího po doručení výpovědi druhé straně.</w:t>
      </w:r>
    </w:p>
    <w:p w:rsidR="001A71C6" w:rsidRDefault="009E0635">
      <w:pPr>
        <w:pStyle w:val="Zkladntext1"/>
        <w:shd w:val="clear" w:color="auto" w:fill="auto"/>
        <w:spacing w:after="520"/>
      </w:pPr>
      <w:r>
        <w:t xml:space="preserve">Jestliže jedna </w:t>
      </w:r>
      <w:r>
        <w:t>ze stran písemnost nepřevezme, je datem doručení 5. následující den po odesláni písemnosti.</w:t>
      </w:r>
    </w:p>
    <w:p w:rsidR="001A71C6" w:rsidRDefault="009E06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92"/>
        </w:tabs>
        <w:spacing w:after="200" w:line="259" w:lineRule="auto"/>
      </w:pPr>
      <w:bookmarkStart w:id="7" w:name="bookmark6"/>
      <w:bookmarkStart w:id="8" w:name="bookmark7"/>
      <w:r>
        <w:t>Cenová kalkulace a platební podmínky</w:t>
      </w:r>
      <w:bookmarkEnd w:id="7"/>
      <w:bookmarkEnd w:id="8"/>
    </w:p>
    <w:p w:rsidR="001A71C6" w:rsidRDefault="009E0635">
      <w:pPr>
        <w:pStyle w:val="Zkladntext1"/>
        <w:shd w:val="clear" w:color="auto" w:fill="auto"/>
        <w:spacing w:line="259" w:lineRule="auto"/>
      </w:pPr>
      <w:r>
        <w:t>Roční cena smlouvy o údržbě je stanovena na částku</w:t>
      </w:r>
    </w:p>
    <w:p w:rsidR="001A71C6" w:rsidRDefault="009E0635">
      <w:pPr>
        <w:pStyle w:val="Nadpis20"/>
        <w:keepNext/>
        <w:keepLines/>
        <w:shd w:val="clear" w:color="auto" w:fill="auto"/>
        <w:spacing w:line="259" w:lineRule="auto"/>
      </w:pPr>
      <w:bookmarkStart w:id="9" w:name="bookmark8"/>
      <w:bookmarkStart w:id="10" w:name="bookmark9"/>
      <w:r>
        <w:t>287 800,- (bez DPH)</w:t>
      </w:r>
      <w:bookmarkEnd w:id="9"/>
      <w:bookmarkEnd w:id="10"/>
    </w:p>
    <w:p w:rsidR="001A71C6" w:rsidRDefault="009E0635">
      <w:pPr>
        <w:pStyle w:val="Zkladntext1"/>
        <w:shd w:val="clear" w:color="auto" w:fill="auto"/>
        <w:spacing w:line="276" w:lineRule="auto"/>
        <w:jc w:val="both"/>
        <w:rPr>
          <w:sz w:val="19"/>
          <w:szCs w:val="19"/>
        </w:rPr>
        <w:sectPr w:rsidR="001A71C6">
          <w:pgSz w:w="11900" w:h="16840"/>
          <w:pgMar w:top="1081" w:right="1020" w:bottom="1081" w:left="1414" w:header="0" w:footer="3" w:gutter="0"/>
          <w:cols w:space="720"/>
          <w:noEndnote/>
          <w:docGrid w:linePitch="360"/>
        </w:sectPr>
      </w:pPr>
      <w:r>
        <w:t xml:space="preserve">Na základě uzavření této smlouvy </w:t>
      </w:r>
      <w:r>
        <w:t xml:space="preserve">Dodavatel pro každý kalendářní rok vystaví samostatné daňové doklady dle vzájemně dohodnuté periody </w:t>
      </w:r>
      <w:proofErr w:type="gramStart"/>
      <w:r>
        <w:t>placení</w:t>
      </w:r>
      <w:proofErr w:type="gramEnd"/>
      <w:r>
        <w:t xml:space="preserve"> a to se všemi předepsanými náležitostmi. Jestliže je Smlouva uzavřena </w:t>
      </w:r>
      <w:r>
        <w:rPr>
          <w:rFonts w:ascii="Times New Roman" w:eastAsia="Times New Roman" w:hAnsi="Times New Roman" w:cs="Times New Roman"/>
          <w:sz w:val="19"/>
          <w:szCs w:val="19"/>
        </w:rPr>
        <w:t>Stránka 2 z 5</w:t>
      </w:r>
    </w:p>
    <w:p w:rsidR="001A71C6" w:rsidRDefault="009E0635">
      <w:pPr>
        <w:pStyle w:val="Zkladntext1"/>
        <w:shd w:val="clear" w:color="auto" w:fill="auto"/>
        <w:spacing w:line="252" w:lineRule="auto"/>
        <w:jc w:val="both"/>
      </w:pPr>
      <w:r>
        <w:rPr>
          <w:i/>
          <w:iCs/>
        </w:rPr>
        <w:lastRenderedPageBreak/>
        <w:t>v</w:t>
      </w:r>
      <w:r>
        <w:t xml:space="preserve"> průběhu kalendářního roku (tzn. není platnost od 1.1), výše uv</w:t>
      </w:r>
      <w:r>
        <w:t>edená částka bude alikvotně krácena dle počtu měsíců údržby systému v aktuálním kalendářním roce. Datem zdanitelného plnění bude datum vystavení faktury.</w:t>
      </w:r>
    </w:p>
    <w:p w:rsidR="001A71C6" w:rsidRDefault="009E0635">
      <w:pPr>
        <w:pStyle w:val="Zkladntext1"/>
        <w:shd w:val="clear" w:color="auto" w:fill="auto"/>
        <w:jc w:val="both"/>
      </w:pPr>
      <w:r>
        <w:t>Splatnost faktur je stanovena 14 dnů ode dne jejich vystavení. Smluvní pokuta je dohodnuta ve výši 0,0</w:t>
      </w:r>
      <w:r>
        <w:t>5 procenta z fakturované částky za každý den prodlení.</w:t>
      </w:r>
    </w:p>
    <w:p w:rsidR="001A71C6" w:rsidRDefault="009E0635">
      <w:pPr>
        <w:pStyle w:val="Zkladntext1"/>
        <w:shd w:val="clear" w:color="auto" w:fill="auto"/>
        <w:spacing w:after="520" w:line="252" w:lineRule="auto"/>
        <w:jc w:val="both"/>
      </w:pPr>
      <w:r>
        <w:t>Jsou-li v průběhu platnosti smlouvy zvýšeny/sníženy počty přístupů k jednotlivým modulům na základě chváleného písemného evidenčního záznamu, pak se mění výše údržby nebo pronájmu dle schváleného zázna</w:t>
      </w:r>
      <w:r>
        <w:t>mu.</w:t>
      </w:r>
    </w:p>
    <w:p w:rsidR="001A71C6" w:rsidRDefault="009E06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52"/>
        </w:tabs>
        <w:spacing w:line="252" w:lineRule="auto"/>
      </w:pPr>
      <w:bookmarkStart w:id="11" w:name="bookmark10"/>
      <w:bookmarkStart w:id="12" w:name="bookmark11"/>
      <w:r>
        <w:t>Plnění smlouvy</w:t>
      </w:r>
      <w:bookmarkEnd w:id="11"/>
      <w:bookmarkEnd w:id="12"/>
    </w:p>
    <w:p w:rsidR="001A71C6" w:rsidRDefault="009E0635">
      <w:pPr>
        <w:pStyle w:val="Zkladntext1"/>
        <w:shd w:val="clear" w:color="auto" w:fill="auto"/>
        <w:spacing w:after="520" w:line="252" w:lineRule="auto"/>
        <w:jc w:val="both"/>
      </w:pPr>
      <w:r>
        <w:t xml:space="preserve">Uživateli je poskytována poradenská telefonní či emailová služba. Telefonní služba </w:t>
      </w:r>
      <w:proofErr w:type="spellStart"/>
      <w:r>
        <w:t>HotLine</w:t>
      </w:r>
      <w:proofErr w:type="spellEnd"/>
      <w:r>
        <w:t xml:space="preserve"> a email </w:t>
      </w:r>
      <w:proofErr w:type="spellStart"/>
      <w:r>
        <w:t>HotLine</w:t>
      </w:r>
      <w:proofErr w:type="spellEnd"/>
      <w:r>
        <w:t xml:space="preserve"> je poskytována z oficiálních </w:t>
      </w:r>
      <w:proofErr w:type="spellStart"/>
      <w:r>
        <w:t>HotLine</w:t>
      </w:r>
      <w:proofErr w:type="spellEnd"/>
      <w:r>
        <w:t xml:space="preserve"> míst. Provozní doba je v rámci pracovních dní od 7:00 do 17:00.</w:t>
      </w:r>
    </w:p>
    <w:p w:rsidR="001A71C6" w:rsidRDefault="009E06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52"/>
        </w:tabs>
        <w:spacing w:line="252" w:lineRule="auto"/>
      </w:pPr>
      <w:bookmarkStart w:id="13" w:name="bookmark12"/>
      <w:bookmarkStart w:id="14" w:name="bookmark13"/>
      <w:r>
        <w:t>Povinnosti dodavatele</w:t>
      </w:r>
      <w:bookmarkEnd w:id="13"/>
      <w:bookmarkEnd w:id="14"/>
    </w:p>
    <w:p w:rsidR="001A71C6" w:rsidRDefault="009E0635">
      <w:pPr>
        <w:pStyle w:val="Zkladntext1"/>
        <w:shd w:val="clear" w:color="auto" w:fill="auto"/>
        <w:spacing w:line="252" w:lineRule="auto"/>
        <w:jc w:val="both"/>
      </w:pPr>
      <w:r>
        <w:t>Dodavatel se v součinnosti s autorem systému zavazuje zabezpečovat regulérnost chodu systému v rámci platné legislativy a se zohledněním obecných pravidel a zvyklostí v oblasti, kterou systém řeší k datu uzavření smlouvy a v rozsahu zakoupené konfigurace s</w:t>
      </w:r>
      <w:r>
        <w:t>ystému.</w:t>
      </w:r>
    </w:p>
    <w:p w:rsidR="001A71C6" w:rsidRDefault="009E0635">
      <w:pPr>
        <w:pStyle w:val="Zkladntext1"/>
        <w:shd w:val="clear" w:color="auto" w:fill="auto"/>
        <w:spacing w:line="252" w:lineRule="auto"/>
        <w:jc w:val="both"/>
      </w:pPr>
      <w:r>
        <w:t>Dodavatel se zavazuje informovat Uživatele vhodným způsobem o vývoji systému a obsahu novinek v aktuální kompilaci.</w:t>
      </w:r>
    </w:p>
    <w:p w:rsidR="001A71C6" w:rsidRDefault="009E0635">
      <w:pPr>
        <w:pStyle w:val="Zkladntext1"/>
        <w:shd w:val="clear" w:color="auto" w:fill="auto"/>
        <w:spacing w:after="0" w:line="252" w:lineRule="auto"/>
        <w:jc w:val="both"/>
      </w:pPr>
      <w:r>
        <w:t>Jestliže Uživatel bude mít zájem o: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52" w:lineRule="auto"/>
        <w:ind w:firstLine="380"/>
        <w:jc w:val="both"/>
      </w:pPr>
      <w:r>
        <w:t>realizaci vzdáleného přístupu dodavatel-uživatel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52" w:lineRule="auto"/>
        <w:ind w:firstLine="380"/>
        <w:jc w:val="both"/>
      </w:pPr>
      <w:r>
        <w:t>realizaci pravidelného dohledu nad rutinním pro</w:t>
      </w:r>
      <w:r>
        <w:t>vozem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52" w:lineRule="auto"/>
        <w:ind w:firstLine="380"/>
        <w:jc w:val="both"/>
      </w:pPr>
      <w:r>
        <w:t>realizaci programátorských prací</w:t>
      </w:r>
    </w:p>
    <w:p w:rsidR="001A71C6" w:rsidRDefault="009E0635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line="252" w:lineRule="auto"/>
        <w:ind w:firstLine="380"/>
        <w:jc w:val="both"/>
      </w:pPr>
      <w:r>
        <w:t>realizaci uživatelské úpravy</w:t>
      </w:r>
    </w:p>
    <w:p w:rsidR="001A71C6" w:rsidRDefault="009E0635">
      <w:pPr>
        <w:pStyle w:val="Zkladntext1"/>
        <w:shd w:val="clear" w:color="auto" w:fill="auto"/>
        <w:spacing w:line="252" w:lineRule="auto"/>
        <w:jc w:val="both"/>
      </w:pPr>
      <w:r>
        <w:t>Dodavatel se zavazuje vést takové jednání, které umožní splnění požadavků uživatele v závislosti na specifikaci daného požadavku. Dodavatel poskytuje tyto služby na vyžádání uživatele.</w:t>
      </w:r>
    </w:p>
    <w:p w:rsidR="001A71C6" w:rsidRDefault="009E0635">
      <w:pPr>
        <w:pStyle w:val="Zkladntext1"/>
        <w:shd w:val="clear" w:color="auto" w:fill="auto"/>
        <w:jc w:val="both"/>
      </w:pPr>
      <w:r>
        <w:t>Dod</w:t>
      </w:r>
      <w:r>
        <w:t>avatel se zavazuje, pro vzdálený přístup k Uživateli, dodržovat jeho bezpečnostní pravidla v oblasti kybernetické bezpečnosti, po oboustranném odsouhlasení.</w:t>
      </w:r>
    </w:p>
    <w:p w:rsidR="001A71C6" w:rsidRDefault="009E0635">
      <w:pPr>
        <w:pStyle w:val="Zkladntext1"/>
        <w:shd w:val="clear" w:color="auto" w:fill="auto"/>
        <w:spacing w:line="271" w:lineRule="auto"/>
        <w:jc w:val="both"/>
      </w:pPr>
      <w:r>
        <w:t xml:space="preserve">Dodavatel má právo cenu za údržbu dle této smlouvy a cenu za pronájem licence každoročně navyšovat </w:t>
      </w:r>
      <w:r>
        <w:t>o míru inflace, vyjádřené přírůstkem průměrného ročního indexu spotřebitelských cen vyhlášeného Českým statistickým úřadem k měsíci listopadu předcházejícího roku. Zvýšeni ceny údržby je účinné vždy k 1. lednu kalendářního roku. Jiné navyšování ceny údržby</w:t>
      </w:r>
      <w:r>
        <w:t xml:space="preserve"> nebo pronájmu licence je možné pouze v případě změny rozsahu využívání systému Byznys (změna licence, uživatelské úpravy).</w:t>
      </w:r>
    </w:p>
    <w:p w:rsidR="001A71C6" w:rsidRDefault="009E06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52"/>
        </w:tabs>
        <w:spacing w:line="252" w:lineRule="auto"/>
      </w:pPr>
      <w:bookmarkStart w:id="15" w:name="bookmark14"/>
      <w:bookmarkStart w:id="16" w:name="bookmark15"/>
      <w:r>
        <w:t>Povinnosti uživatele</w:t>
      </w:r>
      <w:bookmarkEnd w:id="15"/>
      <w:bookmarkEnd w:id="16"/>
    </w:p>
    <w:p w:rsidR="001A71C6" w:rsidRDefault="009E0635">
      <w:pPr>
        <w:pStyle w:val="Zkladntext1"/>
        <w:shd w:val="clear" w:color="auto" w:fill="auto"/>
        <w:spacing w:line="252" w:lineRule="auto"/>
        <w:jc w:val="both"/>
      </w:pPr>
      <w:r>
        <w:t>Uživatel se zavazuje, že bude jmenovat kompetentní osobu, která bude mít na starost rutinní provoz systému.</w:t>
      </w:r>
    </w:p>
    <w:p w:rsidR="001A71C6" w:rsidRDefault="009E0635">
      <w:pPr>
        <w:pStyle w:val="Zkladntext1"/>
        <w:shd w:val="clear" w:color="auto" w:fill="auto"/>
        <w:spacing w:after="0" w:line="254" w:lineRule="auto"/>
        <w:jc w:val="both"/>
      </w:pPr>
      <w:r>
        <w:t>Uži</w:t>
      </w:r>
      <w:r>
        <w:t>vatel se zavazuje sdělit písemně Dodavateli bezpečností pravidla v oblasti kybernetické bezpečnosti. Zároveň Dodavatel doporučuje Uživateli stanovit tato pravidla s přihlédnutím k dostatečnému zabezpečení jejich dat, počítačů a firemní sítě, která spočívaj</w:t>
      </w:r>
      <w:r>
        <w:t>í v:</w:t>
      </w:r>
    </w:p>
    <w:p w:rsidR="001A71C6" w:rsidRDefault="009E0635">
      <w:pPr>
        <w:pStyle w:val="Zkladntext1"/>
        <w:numPr>
          <w:ilvl w:val="0"/>
          <w:numId w:val="4"/>
        </w:numPr>
        <w:shd w:val="clear" w:color="auto" w:fill="auto"/>
        <w:tabs>
          <w:tab w:val="left" w:pos="973"/>
        </w:tabs>
        <w:spacing w:after="0" w:line="254" w:lineRule="auto"/>
        <w:ind w:firstLine="720"/>
        <w:jc w:val="both"/>
      </w:pPr>
      <w:r>
        <w:t>definici samostatných přístupů jednotlivým pracovníkům Dodavatele</w:t>
      </w:r>
    </w:p>
    <w:p w:rsidR="001A71C6" w:rsidRDefault="009E0635">
      <w:pPr>
        <w:pStyle w:val="Zkladntext1"/>
        <w:numPr>
          <w:ilvl w:val="0"/>
          <w:numId w:val="4"/>
        </w:numPr>
        <w:shd w:val="clear" w:color="auto" w:fill="auto"/>
        <w:tabs>
          <w:tab w:val="left" w:pos="973"/>
        </w:tabs>
        <w:spacing w:after="0" w:line="254" w:lineRule="auto"/>
        <w:ind w:firstLine="720"/>
        <w:jc w:val="both"/>
      </w:pPr>
      <w:r>
        <w:t>pravidelné změně přístupových údajů a hesel dle bezpečnostních pravidel Uživatele</w:t>
      </w:r>
    </w:p>
    <w:p w:rsidR="001A71C6" w:rsidRDefault="009E0635">
      <w:pPr>
        <w:pStyle w:val="Zkladntext1"/>
        <w:numPr>
          <w:ilvl w:val="0"/>
          <w:numId w:val="4"/>
        </w:numPr>
        <w:shd w:val="clear" w:color="auto" w:fill="auto"/>
        <w:tabs>
          <w:tab w:val="left" w:pos="973"/>
        </w:tabs>
        <w:spacing w:line="254" w:lineRule="auto"/>
        <w:ind w:firstLine="720"/>
        <w:jc w:val="both"/>
      </w:pPr>
      <w:r>
        <w:t>zabezpečení a ověření každého jednotlivého přístupu pracovníků Dodavatele</w:t>
      </w:r>
    </w:p>
    <w:p w:rsidR="001A71C6" w:rsidRDefault="009E0635">
      <w:pPr>
        <w:pStyle w:val="Zkladntext1"/>
        <w:shd w:val="clear" w:color="auto" w:fill="auto"/>
      </w:pPr>
      <w:r>
        <w:t>Uživatel se zavazuje evidovat</w:t>
      </w:r>
      <w:r>
        <w:t xml:space="preserve"> transparentním způsobem vzniklé problémy při provozu systému a přijímat opatřen </w:t>
      </w:r>
      <w:r>
        <w:lastRenderedPageBreak/>
        <w:t>doporučená Dodavatelem.</w:t>
      </w:r>
    </w:p>
    <w:p w:rsidR="001A71C6" w:rsidRDefault="009E0635">
      <w:pPr>
        <w:pStyle w:val="Zkladntext1"/>
        <w:shd w:val="clear" w:color="auto" w:fill="auto"/>
        <w:spacing w:line="254" w:lineRule="auto"/>
        <w:jc w:val="both"/>
      </w:pPr>
      <w:r>
        <w:t>Uživatel bere na vědomí, že je software vybaven funkcí ke kontrole užitých konfiguračních souborů a že tato informace je při (re)instalaci software, zm</w:t>
      </w:r>
      <w:r>
        <w:t>ěně konfigurace software či změně konfiguračního souboru zaslána do informačního systému Dodavatele. Obsahem informace je přesné znění konfiguračního souboru a jednoznačná identifikace Uživatele tak, aby mohla být provedena kontrola a porovnání s konfigura</w:t>
      </w:r>
      <w:r>
        <w:t>čním souborem, který byl vygenerován, vydán a zaregistrován Dodavatelem na jméno Uživatele (koncového uživatele).</w:t>
      </w:r>
    </w:p>
    <w:p w:rsidR="001A71C6" w:rsidRDefault="009E0635">
      <w:pPr>
        <w:pStyle w:val="Zkladntext1"/>
        <w:shd w:val="clear" w:color="auto" w:fill="auto"/>
        <w:jc w:val="both"/>
      </w:pPr>
      <w:r>
        <w:t xml:space="preserve">Uživatel se zavazuje používat pouze originální konfigurační soubor vystavený na Uživatele a dále se zavazuje, že tento konfigurační soubor </w:t>
      </w:r>
      <w:r>
        <w:t>neposkytne jinému subjektu.</w:t>
      </w:r>
    </w:p>
    <w:p w:rsidR="001A71C6" w:rsidRDefault="009E0635">
      <w:pPr>
        <w:pStyle w:val="Nadpis20"/>
        <w:keepNext/>
        <w:keepLines/>
        <w:shd w:val="clear" w:color="auto" w:fill="auto"/>
        <w:spacing w:line="240" w:lineRule="auto"/>
      </w:pPr>
      <w:bookmarkStart w:id="17" w:name="bookmark16"/>
      <w:bookmarkStart w:id="18" w:name="bookmark17"/>
      <w:r>
        <w:t>Vlil. Individuální uživatelské úpravy</w:t>
      </w:r>
      <w:bookmarkEnd w:id="17"/>
      <w:bookmarkEnd w:id="18"/>
    </w:p>
    <w:p w:rsidR="001A71C6" w:rsidRDefault="009E0635">
      <w:pPr>
        <w:pStyle w:val="Zkladntext1"/>
        <w:shd w:val="clear" w:color="auto" w:fill="auto"/>
        <w:spacing w:after="0"/>
        <w:jc w:val="both"/>
      </w:pPr>
      <w:r>
        <w:t>Systém je distribuován se standardními funkcemi, které jsou obsaženy ve standardní instalační podobě.</w:t>
      </w:r>
    </w:p>
    <w:p w:rsidR="001A71C6" w:rsidRDefault="009E0635">
      <w:pPr>
        <w:pStyle w:val="Zkladntext1"/>
        <w:shd w:val="clear" w:color="auto" w:fill="auto"/>
        <w:jc w:val="both"/>
      </w:pPr>
      <w:r>
        <w:t>Individuální uživatelská úprava (úprava) je definována jako úprava systému vytvořená pro</w:t>
      </w:r>
      <w:r>
        <w:t xml:space="preserve"> individuální potřeby Uživatele na základě jeho požadavku (objednávky).</w:t>
      </w:r>
    </w:p>
    <w:p w:rsidR="001A71C6" w:rsidRDefault="009E0635">
      <w:pPr>
        <w:pStyle w:val="Zkladntext1"/>
        <w:shd w:val="clear" w:color="auto" w:fill="auto"/>
        <w:jc w:val="both"/>
      </w:pPr>
      <w:r>
        <w:t>Jeli uživatelská úprava zahrnuta do údržby, Dodavatel se zavazuje garantovat Uživateli koexistenci této úpravy se standardními funkcemi systému.</w:t>
      </w:r>
    </w:p>
    <w:p w:rsidR="001A71C6" w:rsidRDefault="009E0635">
      <w:pPr>
        <w:pStyle w:val="Zkladntext1"/>
        <w:shd w:val="clear" w:color="auto" w:fill="auto"/>
        <w:jc w:val="both"/>
      </w:pPr>
      <w:r>
        <w:t>Uživateli je doporučeno evidovat si úpr</w:t>
      </w:r>
      <w:r>
        <w:t>avy a po instalaci nové kompilace systému vyzkoušet koexistenci úprav se systémem. Ideální způsob zjištění koexistence je provedení v tzv. BETA instalaci (instalace systému mimo ostrý rutinní běh).</w:t>
      </w:r>
    </w:p>
    <w:p w:rsidR="001A71C6" w:rsidRDefault="009E0635">
      <w:pPr>
        <w:pStyle w:val="Zkladntext1"/>
        <w:shd w:val="clear" w:color="auto" w:fill="auto"/>
        <w:jc w:val="both"/>
      </w:pPr>
      <w:r>
        <w:t xml:space="preserve">V případě, že se vyskytne problém v koexistenci úpravy se </w:t>
      </w:r>
      <w:r>
        <w:t>systémem a bude řádně nahlášen Uživatelem Dodavateli, ten zajistí řešení a vyřešení problému v co nejkratší době. Pakliže se bude jednat o zajištění koexistence úpravy se systémem, nebude dodavatel požadovat finanční úhradu a čerpat se bude z úhrady za údr</w:t>
      </w:r>
      <w:r>
        <w:t>žbu uživatelských úprav.</w:t>
      </w:r>
    </w:p>
    <w:p w:rsidR="001A71C6" w:rsidRDefault="009E0635">
      <w:pPr>
        <w:pStyle w:val="Nadpis20"/>
        <w:keepNext/>
        <w:keepLines/>
        <w:shd w:val="clear" w:color="auto" w:fill="auto"/>
        <w:spacing w:line="240" w:lineRule="auto"/>
      </w:pPr>
      <w:bookmarkStart w:id="19" w:name="bookmark18"/>
      <w:bookmarkStart w:id="20" w:name="bookmark19"/>
      <w:r>
        <w:t>IX. Obecné náležitosti</w:t>
      </w:r>
      <w:bookmarkEnd w:id="19"/>
      <w:bookmarkEnd w:id="20"/>
    </w:p>
    <w:p w:rsidR="001A71C6" w:rsidRDefault="009E0635">
      <w:pPr>
        <w:pStyle w:val="Zkladntext1"/>
        <w:shd w:val="clear" w:color="auto" w:fill="auto"/>
        <w:jc w:val="both"/>
      </w:pPr>
      <w:r>
        <w:t>Je-li Uživatel v prodlení s úhradou závazků vůči Dodavateli, Dodavatel si vyhrazuje přizpůsobit své chování a po dobu nezaplacení nemá vůči Uživateli žádné povinnosti, aniž by došlo ke krácení či změně cenové</w:t>
      </w:r>
      <w:r>
        <w:t xml:space="preserve"> relace za tuto Smlouvu.</w:t>
      </w:r>
    </w:p>
    <w:p w:rsidR="001A71C6" w:rsidRDefault="009E0635">
      <w:pPr>
        <w:pStyle w:val="Zkladntext1"/>
        <w:shd w:val="clear" w:color="auto" w:fill="auto"/>
        <w:spacing w:line="252" w:lineRule="auto"/>
        <w:jc w:val="both"/>
      </w:pPr>
      <w:r>
        <w:t>Uživatel se zavazuje pro podporu systému využívat certifikované konzultanty aktuálně evidované Dodavatelem. Pokud bude Uživatel využívat pro podporu systému aktuálně neautorizované osoby neevidované Dodavatelem, neručí Dodavatel za</w:t>
      </w:r>
      <w:r>
        <w:t xml:space="preserve"> stav a případné závady systému a v platnosti zůstávají veškeré smluvní závazky k Dodavateli.</w:t>
      </w:r>
    </w:p>
    <w:p w:rsidR="001A71C6" w:rsidRDefault="009E0635">
      <w:pPr>
        <w:pStyle w:val="Zkladntext1"/>
        <w:shd w:val="clear" w:color="auto" w:fill="auto"/>
        <w:jc w:val="both"/>
      </w:pPr>
      <w:r>
        <w:t>Licence systému je nepřenosná. Pokud by Uživatel chtěl následně převést systém na nástupnický subjekt, je toto možno realizovat pouze s předchozím písemným souhla</w:t>
      </w:r>
      <w:r>
        <w:t>sem Dodavatele a za podmínek stanovených Dodavatelem.</w:t>
      </w:r>
    </w:p>
    <w:p w:rsidR="001A71C6" w:rsidRDefault="009E0635">
      <w:pPr>
        <w:pStyle w:val="Zkladntext1"/>
        <w:shd w:val="clear" w:color="auto" w:fill="auto"/>
        <w:jc w:val="both"/>
      </w:pPr>
      <w:r>
        <w:t xml:space="preserve">Užití jiné instalační </w:t>
      </w:r>
      <w:proofErr w:type="gramStart"/>
      <w:r>
        <w:t>sady,</w:t>
      </w:r>
      <w:proofErr w:type="gramEnd"/>
      <w:r>
        <w:t xml:space="preserve"> než poskytnuté autorem, či dodavatelem ruší garanční podmínky za stranu Dodavatele.</w:t>
      </w:r>
    </w:p>
    <w:p w:rsidR="001A71C6" w:rsidRDefault="009E0635">
      <w:pPr>
        <w:pStyle w:val="Zkladntext1"/>
        <w:shd w:val="clear" w:color="auto" w:fill="auto"/>
        <w:spacing w:line="271" w:lineRule="auto"/>
        <w:jc w:val="both"/>
      </w:pPr>
      <w:r>
        <w:t>Tato Smlouva je uzavřena dle zákona č. 89/2012 Sb. Občanský zákoník v platném znění a záva</w:t>
      </w:r>
      <w:r>
        <w:t>zkové vztahy, založené touto Smlouvou, které v ní nejsou výslovně upraveny nebo jsou v rozporu s kogentními ustanoveními občanského zákoníku, se řídí příslušnými ustanoveními Občanského zákoníku, Autorským zákonem a dalšími obecně závaznými právními předpi</w:t>
      </w:r>
      <w:r>
        <w:t>sy.</w:t>
      </w:r>
    </w:p>
    <w:p w:rsidR="001A71C6" w:rsidRDefault="009E0635">
      <w:pPr>
        <w:pStyle w:val="Zkladntext1"/>
        <w:shd w:val="clear" w:color="auto" w:fill="auto"/>
        <w:jc w:val="both"/>
      </w:pPr>
      <w:r>
        <w:t xml:space="preserve">Tato smlouva je vypracována ve dvou vyhotoveních, každá strana obdrží po jednom </w:t>
      </w:r>
      <w:proofErr w:type="spellStart"/>
      <w:r>
        <w:t>paré</w:t>
      </w:r>
      <w:proofErr w:type="spellEnd"/>
      <w:r>
        <w:t>.</w:t>
      </w:r>
      <w:r>
        <w:br w:type="page"/>
      </w:r>
    </w:p>
    <w:p w:rsidR="001A71C6" w:rsidRDefault="009E0635">
      <w:pPr>
        <w:pStyle w:val="Zkladntext1"/>
        <w:shd w:val="clear" w:color="auto" w:fill="auto"/>
        <w:spacing w:line="252" w:lineRule="auto"/>
      </w:pPr>
      <w:r>
        <w:lastRenderedPageBreak/>
        <w:t>Tato Smlouva od 1.1. 2023 v plném rozsahu ruší a nahrazuje veškeré předchozí smlouvy, dohody či ujednání týkající se stejného či obdobného předmětu plnění, které byl</w:t>
      </w:r>
      <w:r>
        <w:t>y mezi smluvními stranami uzavřeny.</w:t>
      </w:r>
    </w:p>
    <w:p w:rsidR="001A71C6" w:rsidRDefault="009E0635">
      <w:pPr>
        <w:pStyle w:val="Zkladntext1"/>
        <w:shd w:val="clear" w:color="auto" w:fill="auto"/>
      </w:pPr>
      <w:r>
        <w:t>Osoby podpisující tuto Smlouvu prohlašují, že mají veškerá oprávnění k podpisu smluvních vztahů se třetími osobami za subjekt uživatele a jsou si vědomi následků z toho plynoucích.</w:t>
      </w:r>
    </w:p>
    <w:p w:rsidR="001A71C6" w:rsidRDefault="009E0635">
      <w:pPr>
        <w:pStyle w:val="Zkladntext1"/>
        <w:shd w:val="clear" w:color="auto" w:fill="auto"/>
        <w:spacing w:after="0"/>
        <w:sectPr w:rsidR="001A71C6">
          <w:pgSz w:w="11900" w:h="16840"/>
          <w:pgMar w:top="806" w:right="986" w:bottom="1640" w:left="1396" w:header="0" w:footer="3" w:gutter="0"/>
          <w:cols w:space="720"/>
          <w:noEndnote/>
          <w:docGrid w:linePitch="360"/>
        </w:sectPr>
      </w:pPr>
      <w:r>
        <w:t xml:space="preserve">V Příbrami, dne </w:t>
      </w:r>
      <w:r>
        <w:t>31.12. 2022</w:t>
      </w:r>
    </w:p>
    <w:p w:rsidR="001A71C6" w:rsidRDefault="009E0635" w:rsidP="00B45184">
      <w:pPr>
        <w:pStyle w:val="Nadpis10"/>
        <w:keepNext/>
        <w:keepLines/>
        <w:framePr w:w="3725" w:h="1310" w:wrap="none" w:vAnchor="text" w:hAnchor="page" w:x="4452" w:y="21"/>
        <w:shd w:val="clear" w:color="auto" w:fill="auto"/>
        <w:spacing w:line="240" w:lineRule="auto"/>
        <w:ind w:left="1940"/>
      </w:pPr>
      <w:bookmarkStart w:id="21" w:name="bookmark20"/>
      <w:bookmarkStart w:id="22" w:name="bookmark21"/>
      <w:r>
        <w:t>Iveta</w:t>
      </w:r>
      <w:bookmarkStart w:id="23" w:name="bookmark22"/>
      <w:bookmarkStart w:id="24" w:name="bookmark23"/>
      <w:bookmarkEnd w:id="21"/>
      <w:bookmarkEnd w:id="22"/>
      <w:r>
        <w:rPr>
          <w:color w:val="575382"/>
        </w:rPr>
        <w:t xml:space="preserve"> </w:t>
      </w:r>
      <w:r>
        <w:t>Střížová</w:t>
      </w:r>
      <w:bookmarkEnd w:id="23"/>
      <w:bookmarkEnd w:id="24"/>
    </w:p>
    <w:p w:rsidR="001A71C6" w:rsidRDefault="001A71C6" w:rsidP="00B45184">
      <w:pPr>
        <w:pStyle w:val="Zkladntext20"/>
        <w:framePr w:w="2040" w:h="566" w:wrap="none" w:vAnchor="text" w:hAnchor="page" w:x="7898" w:y="543"/>
        <w:shd w:val="clear" w:color="auto" w:fill="auto"/>
      </w:pPr>
    </w:p>
    <w:p w:rsidR="001A71C6" w:rsidRDefault="009E0635">
      <w:pPr>
        <w:pStyle w:val="Zkladntext1"/>
        <w:framePr w:w="1387" w:h="298" w:wrap="none" w:vAnchor="text" w:hAnchor="page" w:x="4173" w:y="1316"/>
        <w:shd w:val="clear" w:color="auto" w:fill="auto"/>
        <w:spacing w:after="0"/>
      </w:pPr>
      <w:r>
        <w:t>podpis a razítko</w:t>
      </w:r>
    </w:p>
    <w:p w:rsidR="001A71C6" w:rsidRDefault="009E0635">
      <w:pPr>
        <w:pStyle w:val="Zkladntext1"/>
        <w:framePr w:w="869" w:h="293" w:wrap="none" w:vAnchor="text" w:hAnchor="page" w:x="7615" w:y="1316"/>
        <w:shd w:val="clear" w:color="auto" w:fill="auto"/>
        <w:spacing w:after="0"/>
        <w:jc w:val="center"/>
      </w:pPr>
      <w:r>
        <w:t>dodavatel</w:t>
      </w:r>
    </w:p>
    <w:p w:rsidR="001A71C6" w:rsidRDefault="001A71C6">
      <w:pPr>
        <w:spacing w:line="360" w:lineRule="exact"/>
      </w:pPr>
    </w:p>
    <w:p w:rsidR="001A71C6" w:rsidRDefault="001A71C6">
      <w:pPr>
        <w:spacing w:line="360" w:lineRule="exact"/>
      </w:pPr>
    </w:p>
    <w:p w:rsidR="001A71C6" w:rsidRDefault="001A71C6">
      <w:pPr>
        <w:spacing w:line="360" w:lineRule="exact"/>
      </w:pPr>
    </w:p>
    <w:p w:rsidR="001A71C6" w:rsidRDefault="001A71C6">
      <w:pPr>
        <w:spacing w:after="532" w:line="1" w:lineRule="exact"/>
      </w:pPr>
    </w:p>
    <w:p w:rsidR="001A71C6" w:rsidRDefault="001A71C6">
      <w:pPr>
        <w:spacing w:line="1" w:lineRule="exact"/>
      </w:pPr>
    </w:p>
    <w:sectPr w:rsidR="001A71C6">
      <w:type w:val="continuous"/>
      <w:pgSz w:w="11900" w:h="16840"/>
      <w:pgMar w:top="891" w:right="975" w:bottom="1429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635" w:rsidRDefault="009E0635">
      <w:r>
        <w:separator/>
      </w:r>
    </w:p>
  </w:endnote>
  <w:endnote w:type="continuationSeparator" w:id="0">
    <w:p w:rsidR="009E0635" w:rsidRDefault="009E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635" w:rsidRDefault="009E0635"/>
  </w:footnote>
  <w:footnote w:type="continuationSeparator" w:id="0">
    <w:p w:rsidR="009E0635" w:rsidRDefault="009E06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245C1"/>
    <w:multiLevelType w:val="multilevel"/>
    <w:tmpl w:val="7D00E89C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B2A54"/>
    <w:multiLevelType w:val="multilevel"/>
    <w:tmpl w:val="1B82A64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C2894"/>
    <w:multiLevelType w:val="multilevel"/>
    <w:tmpl w:val="EA4E3A06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C34AF1"/>
    <w:multiLevelType w:val="multilevel"/>
    <w:tmpl w:val="738EA43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C6"/>
    <w:rsid w:val="001A71C6"/>
    <w:rsid w:val="009E0635"/>
    <w:rsid w:val="00B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CA8F"/>
  <w15:docId w15:val="{B607B489-313E-4297-A144-8835467E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575382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Arial Narrow" w:eastAsia="Arial Narrow" w:hAnsi="Arial Narrow" w:cs="Arial Narrow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/>
      <w:ind w:left="1330"/>
    </w:pPr>
    <w:rPr>
      <w:rFonts w:ascii="Arial" w:eastAsia="Arial" w:hAnsi="Arial" w:cs="Arial"/>
      <w:color w:val="575382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0"/>
      <w:jc w:val="center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45" w:lineRule="auto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ind w:left="970"/>
      <w:outlineLvl w:val="0"/>
    </w:pPr>
    <w:rPr>
      <w:rFonts w:ascii="Segoe UI" w:eastAsia="Segoe UI" w:hAnsi="Segoe UI" w:cs="Segoe UI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Lucie, Vojtková</dc:creator>
  <cp:lastModifiedBy>Lucie, Vojtková</cp:lastModifiedBy>
  <cp:revision>2</cp:revision>
  <dcterms:created xsi:type="dcterms:W3CDTF">2023-04-06T08:15:00Z</dcterms:created>
  <dcterms:modified xsi:type="dcterms:W3CDTF">2023-04-06T08:15:00Z</dcterms:modified>
</cp:coreProperties>
</file>