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7E56" w14:textId="77777777" w:rsidR="007D48DD" w:rsidRPr="00F868DD" w:rsidRDefault="007D48DD" w:rsidP="007D48DD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>
        <w:rPr>
          <w:rFonts w:asciiTheme="minorHAnsi" w:hAnsiTheme="minorHAnsi" w:cstheme="minorHAnsi"/>
          <w:b/>
          <w:bCs/>
        </w:rPr>
        <w:t>002</w:t>
      </w:r>
      <w:r w:rsidRPr="00F868DD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3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276AEFD5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AF2CBE">
        <w:rPr>
          <w:rFonts w:asciiTheme="minorHAnsi" w:hAnsiTheme="minorHAnsi" w:cstheme="minorHAnsi"/>
          <w:sz w:val="22"/>
          <w:szCs w:val="22"/>
        </w:rPr>
        <w:t>XXXXXXXXXXXXXXXXXX</w:t>
      </w:r>
    </w:p>
    <w:p w14:paraId="2D2D48B0" w14:textId="540B4484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AF2CBE">
        <w:rPr>
          <w:rFonts w:asciiTheme="minorHAnsi" w:hAnsiTheme="minorHAnsi" w:cstheme="minorHAnsi"/>
          <w:sz w:val="22"/>
          <w:szCs w:val="22"/>
        </w:rPr>
        <w:t>XXXXXXXXXXXXXXXXXX</w:t>
      </w:r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5CAACBA0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238FF5F7" w:rsidR="00D02859" w:rsidRPr="00424388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>Dodavatel: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388" w:rsidRPr="00424388">
        <w:rPr>
          <w:rFonts w:asciiTheme="minorHAnsi" w:hAnsiTheme="minorHAnsi" w:cstheme="minorHAnsi"/>
          <w:b/>
          <w:sz w:val="22"/>
          <w:szCs w:val="22"/>
        </w:rPr>
        <w:t>BeFollowed s.r.o.</w:t>
      </w:r>
      <w:r w:rsidRPr="00B547DF">
        <w:rPr>
          <w:rFonts w:asciiTheme="minorHAnsi" w:hAnsiTheme="minorHAnsi" w:cstheme="minorHAnsi"/>
          <w:b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5ABEB362" w:rsidR="00D02859" w:rsidRPr="00424388" w:rsidRDefault="00D02859" w:rsidP="00955566">
      <w:pPr>
        <w:spacing w:line="360" w:lineRule="auto"/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388" w:rsidRPr="00424388">
        <w:rPr>
          <w:rFonts w:asciiTheme="minorHAnsi" w:hAnsiTheme="minorHAnsi" w:cstheme="minorHAnsi"/>
          <w:bCs/>
          <w:sz w:val="22"/>
          <w:szCs w:val="22"/>
        </w:rPr>
        <w:t>Městský soud v</w:t>
      </w:r>
      <w:r w:rsidR="00424388">
        <w:rPr>
          <w:rFonts w:asciiTheme="minorHAnsi" w:hAnsiTheme="minorHAnsi" w:cstheme="minorHAnsi"/>
          <w:bCs/>
          <w:sz w:val="22"/>
          <w:szCs w:val="22"/>
        </w:rPr>
        <w:t> </w:t>
      </w:r>
      <w:r w:rsidR="00424388" w:rsidRPr="00424388">
        <w:rPr>
          <w:rFonts w:asciiTheme="minorHAnsi" w:hAnsiTheme="minorHAnsi" w:cstheme="minorHAnsi"/>
          <w:bCs/>
          <w:sz w:val="22"/>
          <w:szCs w:val="22"/>
        </w:rPr>
        <w:t>Praze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, sp. Značka </w:t>
      </w:r>
      <w:r w:rsidR="00424388" w:rsidRPr="00424388">
        <w:rPr>
          <w:rFonts w:asciiTheme="minorHAnsi" w:hAnsiTheme="minorHAnsi" w:cstheme="minorHAnsi"/>
          <w:bCs/>
          <w:sz w:val="22"/>
          <w:szCs w:val="22"/>
        </w:rPr>
        <w:t>C 365647/MSPH</w:t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7CBFC343" w:rsidR="00D02859" w:rsidRPr="00424388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>Sídlo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24388" w:rsidRPr="00424388">
        <w:rPr>
          <w:rFonts w:asciiTheme="minorHAnsi" w:hAnsiTheme="minorHAnsi" w:cstheme="minorHAnsi"/>
          <w:bCs/>
          <w:sz w:val="22"/>
          <w:szCs w:val="22"/>
        </w:rPr>
        <w:t>Novákových 970/41, Libeň, 180 00 Praha</w:t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779361CD" w:rsidR="00D02859" w:rsidRPr="00424388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>IČ: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388" w:rsidRPr="00424388">
        <w:rPr>
          <w:rFonts w:asciiTheme="minorHAnsi" w:hAnsiTheme="minorHAnsi" w:cstheme="minorHAnsi"/>
          <w:bCs/>
          <w:sz w:val="22"/>
          <w:szCs w:val="22"/>
        </w:rPr>
        <w:t>14436957</w:t>
      </w:r>
      <w:r w:rsidR="00424388">
        <w:rPr>
          <w:rFonts w:asciiTheme="minorHAnsi" w:hAnsiTheme="minorHAnsi" w:cstheme="minorHAnsi"/>
          <w:bCs/>
          <w:sz w:val="22"/>
          <w:szCs w:val="22"/>
        </w:rPr>
        <w:t>, nejsme plátci DPH</w:t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2E63AEB3" w:rsidR="00D02859" w:rsidRPr="00424388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>Zastoupený:</w:t>
      </w:r>
      <w:r w:rsidR="004243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4388" w:rsidRPr="00955566">
        <w:rPr>
          <w:rFonts w:asciiTheme="minorHAnsi" w:hAnsiTheme="minorHAnsi" w:cstheme="minorHAnsi"/>
          <w:b/>
          <w:sz w:val="22"/>
          <w:szCs w:val="22"/>
        </w:rPr>
        <w:t>Veronika Lutonská, jednatel společnosti</w:t>
      </w:r>
      <w:r w:rsidRPr="00955566">
        <w:rPr>
          <w:rFonts w:asciiTheme="minorHAnsi" w:hAnsiTheme="minorHAnsi" w:cstheme="minorHAnsi"/>
          <w:b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43A78C24" w:rsidR="00D02859" w:rsidRPr="00424388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4388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955566" w:rsidRPr="00955566">
        <w:rPr>
          <w:rFonts w:asciiTheme="minorHAnsi" w:hAnsiTheme="minorHAnsi" w:cstheme="minorHAnsi"/>
          <w:bCs/>
          <w:sz w:val="22"/>
          <w:szCs w:val="22"/>
        </w:rPr>
        <w:t>Raiffeisenbank a.s</w:t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  <w:r w:rsidRPr="00424388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63F63AAF" w:rsidR="00D02859" w:rsidRPr="00F868DD" w:rsidRDefault="00D02859" w:rsidP="0095556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424388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="00AF2C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2CBE">
        <w:rPr>
          <w:rFonts w:asciiTheme="minorHAnsi" w:hAnsiTheme="minorHAnsi" w:cstheme="minorHAnsi"/>
          <w:sz w:val="22"/>
          <w:szCs w:val="22"/>
        </w:rPr>
        <w:t>XXXXXXXXXXXXXXXXXX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207D5704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732B4F" w:rsidRPr="00732B4F">
        <w:rPr>
          <w:rFonts w:ascii="Calibri" w:hAnsi="Calibri" w:cs="Calibri"/>
          <w:sz w:val="22"/>
          <w:szCs w:val="22"/>
        </w:rPr>
        <w:t>"</w:t>
      </w:r>
      <w:bookmarkStart w:id="1" w:name="_Hlk125705040"/>
      <w:r w:rsidR="004212F9" w:rsidRPr="00647801">
        <w:rPr>
          <w:rFonts w:ascii="Calibri" w:hAnsi="Calibri" w:cs="Calibri"/>
          <w:b/>
          <w:sz w:val="22"/>
          <w:szCs w:val="22"/>
        </w:rPr>
        <w:t xml:space="preserve">Online marketingová </w:t>
      </w:r>
      <w:r w:rsidR="000475EF">
        <w:rPr>
          <w:rFonts w:ascii="Calibri" w:hAnsi="Calibri" w:cs="Calibri"/>
          <w:b/>
          <w:sz w:val="22"/>
          <w:szCs w:val="22"/>
        </w:rPr>
        <w:t>kampaň</w:t>
      </w:r>
      <w:r w:rsidR="004212F9" w:rsidRPr="00647801">
        <w:rPr>
          <w:rFonts w:ascii="Calibri" w:hAnsi="Calibri" w:cs="Calibri"/>
          <w:b/>
          <w:sz w:val="22"/>
          <w:szCs w:val="22"/>
        </w:rPr>
        <w:t> projektu Cestuj a poznávej</w:t>
      </w:r>
      <w:bookmarkEnd w:id="1"/>
      <w:r w:rsidR="00732B4F" w:rsidRPr="00732B4F">
        <w:rPr>
          <w:rFonts w:ascii="Calibri" w:hAnsi="Calibri" w:cs="Calibri"/>
          <w:sz w:val="22"/>
          <w:szCs w:val="22"/>
        </w:rPr>
        <w:t>“</w:t>
      </w:r>
      <w:bookmarkEnd w:id="0"/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9DC1859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287BF4CA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507A4774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21C548E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232312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F9F3D4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2C0698E6" w:rsidR="00477F7E" w:rsidRPr="00FB1517" w:rsidRDefault="00D02859" w:rsidP="008B59C5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83D1A">
        <w:rPr>
          <w:rFonts w:asciiTheme="minorHAnsi" w:hAnsiTheme="minorHAnsi" w:cstheme="minorHAnsi"/>
          <w:sz w:val="22"/>
          <w:szCs w:val="22"/>
        </w:rPr>
        <w:t xml:space="preserve">předmět díla dle přílohy č. 1.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C2F7A" w14:textId="77777777" w:rsidR="00183D1A" w:rsidRDefault="00183D1A" w:rsidP="00477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A79A" w14:textId="14247C95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006D87BC" w:rsidR="00D02859" w:rsidRPr="00C75BB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75BBC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 w:rsidRPr="00C75BBC">
        <w:rPr>
          <w:rFonts w:asciiTheme="minorHAnsi" w:hAnsiTheme="minorHAnsi" w:cstheme="minorHAnsi"/>
          <w:sz w:val="22"/>
          <w:szCs w:val="22"/>
        </w:rPr>
        <w:t>eská republika</w:t>
      </w:r>
      <w:r w:rsidRPr="00C75BBC">
        <w:rPr>
          <w:rFonts w:asciiTheme="minorHAnsi" w:hAnsiTheme="minorHAnsi" w:cstheme="minorHAnsi"/>
          <w:sz w:val="22"/>
          <w:szCs w:val="22"/>
        </w:rPr>
        <w:t>. Doba plnění</w:t>
      </w:r>
      <w:r w:rsidR="00B35461" w:rsidRPr="00C75BBC">
        <w:rPr>
          <w:rFonts w:asciiTheme="minorHAnsi" w:hAnsiTheme="minorHAnsi" w:cstheme="minorHAnsi"/>
          <w:sz w:val="22"/>
          <w:szCs w:val="22"/>
        </w:rPr>
        <w:t xml:space="preserve">: </w:t>
      </w:r>
      <w:r w:rsidR="008B59C5" w:rsidRPr="00C75BBC">
        <w:rPr>
          <w:rFonts w:asciiTheme="minorHAnsi" w:hAnsiTheme="minorHAnsi" w:cstheme="minorHAnsi"/>
          <w:sz w:val="22"/>
          <w:szCs w:val="22"/>
        </w:rPr>
        <w:t xml:space="preserve">od </w:t>
      </w:r>
      <w:r w:rsidR="007460C7">
        <w:rPr>
          <w:rFonts w:asciiTheme="minorHAnsi" w:hAnsiTheme="minorHAnsi" w:cstheme="minorHAnsi"/>
          <w:sz w:val="22"/>
          <w:szCs w:val="22"/>
        </w:rPr>
        <w:t>3</w:t>
      </w:r>
      <w:r w:rsidR="00732B4F" w:rsidRPr="00C75BBC">
        <w:rPr>
          <w:rFonts w:asciiTheme="minorHAnsi" w:hAnsiTheme="minorHAnsi" w:cstheme="minorHAnsi"/>
          <w:sz w:val="22"/>
          <w:szCs w:val="22"/>
        </w:rPr>
        <w:t>.</w:t>
      </w:r>
      <w:r w:rsidR="007460C7">
        <w:rPr>
          <w:rFonts w:asciiTheme="minorHAnsi" w:hAnsiTheme="minorHAnsi" w:cstheme="minorHAnsi"/>
          <w:sz w:val="22"/>
          <w:szCs w:val="22"/>
        </w:rPr>
        <w:t>4</w:t>
      </w:r>
      <w:r w:rsidR="008B59C5" w:rsidRPr="00C75BBC">
        <w:rPr>
          <w:rFonts w:asciiTheme="minorHAnsi" w:hAnsiTheme="minorHAnsi" w:cstheme="minorHAnsi"/>
          <w:sz w:val="22"/>
          <w:szCs w:val="22"/>
        </w:rPr>
        <w:t>.202</w:t>
      </w:r>
      <w:r w:rsidR="0044699A" w:rsidRPr="00C75BBC">
        <w:rPr>
          <w:rFonts w:asciiTheme="minorHAnsi" w:hAnsiTheme="minorHAnsi" w:cstheme="minorHAnsi"/>
          <w:sz w:val="22"/>
          <w:szCs w:val="22"/>
        </w:rPr>
        <w:t>3</w:t>
      </w:r>
      <w:r w:rsidR="00B35461" w:rsidRPr="00C75BBC">
        <w:rPr>
          <w:rFonts w:asciiTheme="minorHAnsi" w:hAnsiTheme="minorHAnsi" w:cstheme="minorHAnsi"/>
          <w:sz w:val="22"/>
          <w:szCs w:val="22"/>
        </w:rPr>
        <w:t>,</w:t>
      </w:r>
      <w:r w:rsidR="0008610C" w:rsidRPr="00C75BBC">
        <w:rPr>
          <w:rFonts w:ascii="Calibri" w:hAnsi="Calibri" w:cs="Calibri"/>
          <w:sz w:val="22"/>
          <w:szCs w:val="22"/>
        </w:rPr>
        <w:t xml:space="preserve"> předání hotového díla proběhne </w:t>
      </w:r>
      <w:r w:rsidR="00183D1A" w:rsidRPr="00C75BBC">
        <w:rPr>
          <w:rFonts w:ascii="Calibri" w:hAnsi="Calibri" w:cs="Calibri"/>
          <w:sz w:val="22"/>
          <w:szCs w:val="22"/>
        </w:rPr>
        <w:t xml:space="preserve">do </w:t>
      </w:r>
      <w:r w:rsidR="00197A7E">
        <w:rPr>
          <w:rFonts w:ascii="Calibri" w:hAnsi="Calibri" w:cs="Calibri"/>
          <w:sz w:val="22"/>
          <w:szCs w:val="22"/>
        </w:rPr>
        <w:t>3</w:t>
      </w:r>
      <w:r w:rsidR="007460C7">
        <w:rPr>
          <w:rFonts w:ascii="Calibri" w:hAnsi="Calibri" w:cs="Calibri"/>
          <w:sz w:val="22"/>
          <w:szCs w:val="22"/>
        </w:rPr>
        <w:t>0</w:t>
      </w:r>
      <w:r w:rsidR="00B43DF2" w:rsidRPr="00C75BBC">
        <w:rPr>
          <w:rFonts w:ascii="Calibri" w:hAnsi="Calibri" w:cs="Calibri"/>
          <w:sz w:val="22"/>
          <w:szCs w:val="22"/>
        </w:rPr>
        <w:t xml:space="preserve">. </w:t>
      </w:r>
      <w:r w:rsidR="007460C7">
        <w:rPr>
          <w:rFonts w:ascii="Calibri" w:hAnsi="Calibri" w:cs="Calibri"/>
          <w:sz w:val="22"/>
          <w:szCs w:val="22"/>
        </w:rPr>
        <w:t>11</w:t>
      </w:r>
      <w:r w:rsidR="0008610C" w:rsidRPr="00C75BBC">
        <w:rPr>
          <w:rFonts w:ascii="Calibri" w:hAnsi="Calibri" w:cs="Calibri"/>
          <w:sz w:val="22"/>
          <w:szCs w:val="22"/>
        </w:rPr>
        <w:t>. 202</w:t>
      </w:r>
      <w:r w:rsidR="0044699A" w:rsidRPr="00C75BBC">
        <w:rPr>
          <w:rFonts w:ascii="Calibri" w:hAnsi="Calibri" w:cs="Calibri"/>
          <w:sz w:val="22"/>
          <w:szCs w:val="22"/>
        </w:rPr>
        <w:t>3</w:t>
      </w:r>
      <w:r w:rsidR="0008610C" w:rsidRPr="00C75BBC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FF104FA" w14:textId="348F1A6B" w:rsidR="00F819AC" w:rsidRPr="00800BDE" w:rsidRDefault="00D02859" w:rsidP="00800BDE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19AC">
        <w:rPr>
          <w:rFonts w:asciiTheme="minorHAnsi" w:hAnsiTheme="minorHAnsi" w:cstheme="minorHAnsi"/>
          <w:sz w:val="22"/>
          <w:szCs w:val="22"/>
        </w:rPr>
        <w:t xml:space="preserve">Celková cena </w:t>
      </w:r>
      <w:r w:rsidR="00800BDE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F819AC">
        <w:rPr>
          <w:rFonts w:asciiTheme="minorHAnsi" w:hAnsiTheme="minorHAnsi" w:cstheme="minorHAnsi"/>
          <w:sz w:val="22"/>
          <w:szCs w:val="22"/>
        </w:rPr>
        <w:t xml:space="preserve">DPH </w:t>
      </w:r>
      <w:r w:rsidRPr="00F819AC">
        <w:rPr>
          <w:rFonts w:asciiTheme="minorHAnsi" w:hAnsiTheme="minorHAnsi" w:cstheme="minorHAnsi"/>
          <w:sz w:val="22"/>
          <w:szCs w:val="22"/>
        </w:rPr>
        <w:tab/>
      </w:r>
      <w:r w:rsidRPr="00F819A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="006630CC" w:rsidRPr="00F819AC">
        <w:rPr>
          <w:rFonts w:asciiTheme="minorHAnsi" w:hAnsiTheme="minorHAnsi" w:cstheme="minorHAnsi"/>
          <w:sz w:val="22"/>
          <w:szCs w:val="22"/>
        </w:rPr>
        <w:tab/>
      </w:r>
      <w:r w:rsidR="00F819AC" w:rsidRPr="00F819A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402D3">
        <w:rPr>
          <w:rFonts w:asciiTheme="minorHAnsi" w:hAnsiTheme="minorHAnsi" w:cstheme="minorHAnsi"/>
          <w:b/>
          <w:bCs/>
          <w:sz w:val="22"/>
          <w:szCs w:val="22"/>
        </w:rPr>
        <w:t xml:space="preserve">65 </w:t>
      </w:r>
      <w:r w:rsidR="00F819AC" w:rsidRPr="00F819AC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r w:rsidRPr="00F819AC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Pr="00F819AC">
        <w:rPr>
          <w:rFonts w:asciiTheme="minorHAnsi" w:hAnsiTheme="minorHAnsi" w:cstheme="minorHAnsi"/>
          <w:sz w:val="22"/>
          <w:szCs w:val="22"/>
        </w:rPr>
        <w:tab/>
      </w:r>
      <w:r w:rsidRPr="00F819AC">
        <w:rPr>
          <w:rFonts w:asciiTheme="minorHAnsi" w:hAnsiTheme="minorHAnsi" w:cstheme="minorHAnsi"/>
          <w:sz w:val="22"/>
          <w:szCs w:val="22"/>
        </w:rPr>
        <w:tab/>
      </w:r>
      <w:r w:rsidRPr="00F819AC">
        <w:rPr>
          <w:rFonts w:asciiTheme="minorHAnsi" w:hAnsiTheme="minorHAnsi" w:cstheme="minorHAnsi"/>
          <w:sz w:val="22"/>
          <w:szCs w:val="22"/>
        </w:rPr>
        <w:tab/>
      </w:r>
      <w:r w:rsidRPr="00F819A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F819AC">
        <w:rPr>
          <w:rFonts w:asciiTheme="minorHAnsi" w:hAnsiTheme="minorHAnsi" w:cstheme="minorHAnsi"/>
          <w:sz w:val="22"/>
          <w:szCs w:val="22"/>
        </w:rPr>
        <w:tab/>
      </w:r>
    </w:p>
    <w:p w14:paraId="3C58C4E2" w14:textId="0EF6377A" w:rsidR="00D02859" w:rsidRPr="00F819A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85F8AE" w14:textId="56BACFC5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F819AC">
        <w:rPr>
          <w:rFonts w:asciiTheme="minorHAnsi" w:hAnsiTheme="minorHAnsi" w:cstheme="minorHAnsi"/>
        </w:rPr>
        <w:t>(slovy:)</w:t>
      </w:r>
      <w:r w:rsidR="00F819AC" w:rsidRPr="00F819AC">
        <w:rPr>
          <w:rFonts w:asciiTheme="minorHAnsi" w:hAnsiTheme="minorHAnsi" w:cstheme="minorHAnsi"/>
        </w:rPr>
        <w:t xml:space="preserve"> -----------</w:t>
      </w:r>
      <w:r w:rsidR="00F819AC">
        <w:rPr>
          <w:rFonts w:asciiTheme="minorHAnsi" w:hAnsiTheme="minorHAnsi" w:cstheme="minorHAnsi"/>
        </w:rPr>
        <w:t>Pětset</w:t>
      </w:r>
      <w:r w:rsidR="00A402D3">
        <w:rPr>
          <w:rFonts w:asciiTheme="minorHAnsi" w:hAnsiTheme="minorHAnsi" w:cstheme="minorHAnsi"/>
        </w:rPr>
        <w:t>šedesátpěttisíc</w:t>
      </w:r>
      <w:r w:rsidR="00F819AC">
        <w:rPr>
          <w:rFonts w:asciiTheme="minorHAnsi" w:hAnsiTheme="minorHAnsi" w:cstheme="minorHAnsi"/>
        </w:rPr>
        <w:t>korunčeských-----------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6555EF94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</w:t>
      </w:r>
      <w:r w:rsidR="00BF6A8C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>Termínem úhrady se rozumí den odepsání peněžních prostředků z účtu objednatele. Fakturace bude provedena</w:t>
      </w:r>
      <w:r w:rsidR="00BC0D1C">
        <w:rPr>
          <w:rFonts w:asciiTheme="minorHAnsi" w:hAnsiTheme="minorHAnsi" w:cstheme="minorHAnsi"/>
          <w:sz w:val="22"/>
          <w:szCs w:val="22"/>
        </w:rPr>
        <w:t xml:space="preserve"> měsíčně</w:t>
      </w: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="007460C7">
        <w:rPr>
          <w:rFonts w:asciiTheme="minorHAnsi" w:hAnsiTheme="minorHAnsi" w:cstheme="minorHAnsi"/>
          <w:sz w:val="22"/>
          <w:szCs w:val="22"/>
        </w:rPr>
        <w:t xml:space="preserve">dle Přílohy </w:t>
      </w:r>
      <w:r w:rsidR="001F39DB">
        <w:rPr>
          <w:rFonts w:asciiTheme="minorHAnsi" w:hAnsiTheme="minorHAnsi" w:cstheme="minorHAnsi"/>
          <w:sz w:val="22"/>
          <w:szCs w:val="22"/>
        </w:rPr>
        <w:t>2</w:t>
      </w:r>
      <w:r w:rsidR="007460C7">
        <w:rPr>
          <w:rFonts w:asciiTheme="minorHAnsi" w:hAnsiTheme="minorHAnsi" w:cstheme="minorHAnsi"/>
          <w:sz w:val="22"/>
          <w:szCs w:val="22"/>
        </w:rPr>
        <w:t xml:space="preserve"> těchto Obchodních podmínek, vždy po vystavení reportingu za daný měsíc, za který bude vystavena faktura. </w:t>
      </w: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E2169" w14:textId="216D827D" w:rsidR="00D02859" w:rsidRPr="00F868DD" w:rsidRDefault="00D02859" w:rsidP="00711AA7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</w:t>
      </w:r>
      <w:r w:rsidR="00183D1A">
        <w:rPr>
          <w:rFonts w:asciiTheme="minorHAnsi" w:hAnsiTheme="minorHAnsi" w:cstheme="minorHAnsi"/>
          <w:sz w:val="22"/>
          <w:szCs w:val="22"/>
        </w:rPr>
        <w:t>y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14263213" w:rsidR="00D02859" w:rsidRPr="00E679BE" w:rsidRDefault="00D02859" w:rsidP="00711AA7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Platba bude provedena na základě faktur, které budou splňovat náležitosti daňového dokladu dle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obecně platných </w:t>
      </w:r>
      <w:r w:rsidR="007B65D4">
        <w:rPr>
          <w:rFonts w:asciiTheme="minorHAnsi" w:hAnsiTheme="minorHAnsi" w:cstheme="minorHAnsi"/>
          <w:sz w:val="22"/>
          <w:szCs w:val="22"/>
        </w:rPr>
        <w:t>předpisů</w:t>
      </w:r>
      <w:r w:rsidR="006C7FC7">
        <w:rPr>
          <w:rFonts w:asciiTheme="minorHAnsi" w:hAnsiTheme="minorHAnsi" w:cstheme="minorHAnsi"/>
          <w:sz w:val="22"/>
          <w:szCs w:val="22"/>
        </w:rPr>
        <w:t xml:space="preserve"> a </w:t>
      </w:r>
      <w:bookmarkStart w:id="2" w:name="_Hlk126128443"/>
      <w:r w:rsidR="006C7FC7">
        <w:rPr>
          <w:rFonts w:asciiTheme="minorHAnsi" w:hAnsiTheme="minorHAnsi" w:cstheme="minorHAnsi"/>
          <w:sz w:val="22"/>
          <w:szCs w:val="22"/>
        </w:rPr>
        <w:t>budou označeny textem:</w:t>
      </w:r>
      <w:r w:rsidR="007B2D04">
        <w:rPr>
          <w:rFonts w:asciiTheme="minorHAnsi" w:hAnsiTheme="minorHAnsi" w:cstheme="minorHAnsi"/>
          <w:sz w:val="22"/>
          <w:szCs w:val="22"/>
        </w:rPr>
        <w:t xml:space="preserve"> </w:t>
      </w:r>
      <w:r w:rsidR="007B2D04" w:rsidRPr="00E679BE">
        <w:rPr>
          <w:rFonts w:asciiTheme="minorHAnsi" w:hAnsiTheme="minorHAnsi" w:cstheme="minorHAnsi"/>
          <w:b/>
          <w:bCs/>
          <w:sz w:val="22"/>
          <w:szCs w:val="22"/>
        </w:rPr>
        <w:t>Projekt Cestuj a poznávej Východní Moravu byl realizován za přispění prostředků státního rozpočtu České republiky z programu Ministerstva pro místní rozvoj.</w:t>
      </w:r>
      <w:r w:rsidR="006C7FC7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Hrazeno z dotace ZK</w:t>
      </w:r>
      <w:r w:rsidR="007B65D4" w:rsidRPr="00E679B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"/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1AE2FF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Poté, co dodavatel předá dílo objednateli, má tento 5 pracovních dnů na to, aby dílo prohlédl a konstatoval</w:t>
      </w:r>
      <w:r w:rsidR="007B65D4">
        <w:rPr>
          <w:rFonts w:asciiTheme="minorHAnsi" w:hAnsiTheme="minorHAnsi" w:cstheme="minorHAnsi"/>
        </w:rPr>
        <w:t>,</w:t>
      </w:r>
      <w:r w:rsidRPr="00F868DD">
        <w:rPr>
          <w:rFonts w:asciiTheme="minorHAnsi" w:hAnsiTheme="minorHAnsi" w:cstheme="minorHAnsi"/>
        </w:rPr>
        <w:t xml:space="preserve"> </w:t>
      </w:r>
      <w:proofErr w:type="gramStart"/>
      <w:r w:rsidRPr="00F868DD">
        <w:rPr>
          <w:rFonts w:asciiTheme="minorHAnsi" w:hAnsiTheme="minorHAnsi" w:cstheme="minorHAnsi"/>
        </w:rPr>
        <w:t>zda-li</w:t>
      </w:r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D181990" w14:textId="77777777" w:rsidR="000E06EC" w:rsidRDefault="000E06EC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DF6828" w14:textId="77777777" w:rsidR="000E06EC" w:rsidRDefault="000E06EC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7A2EC576" w14:textId="77777777" w:rsidR="000E06EC" w:rsidRDefault="000E06EC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70763108" w14:textId="77777777" w:rsidR="000E06EC" w:rsidRPr="00F868DD" w:rsidRDefault="000E06EC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CAF079" w14:textId="36CC2BA4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V</w:t>
      </w:r>
      <w:r w:rsidR="00955566">
        <w:rPr>
          <w:rFonts w:asciiTheme="minorHAnsi" w:hAnsiTheme="minorHAnsi" w:cstheme="minorHAnsi"/>
        </w:rPr>
        <w:t xml:space="preserve"> Praze</w:t>
      </w:r>
      <w:r w:rsidRPr="00F868DD">
        <w:rPr>
          <w:rFonts w:asciiTheme="minorHAnsi" w:hAnsiTheme="minorHAnsi" w:cstheme="minorHAnsi"/>
        </w:rPr>
        <w:t xml:space="preserve"> dne </w:t>
      </w:r>
      <w:r w:rsidR="00955566">
        <w:rPr>
          <w:rFonts w:asciiTheme="minorHAnsi" w:hAnsiTheme="minorHAnsi" w:cstheme="minorHAnsi"/>
        </w:rPr>
        <w:t>2</w:t>
      </w:r>
      <w:r w:rsidR="000F5995">
        <w:rPr>
          <w:rFonts w:asciiTheme="minorHAnsi" w:hAnsiTheme="minorHAnsi" w:cstheme="minorHAnsi"/>
        </w:rPr>
        <w:t>4</w:t>
      </w:r>
      <w:r w:rsidR="00955566">
        <w:rPr>
          <w:rFonts w:asciiTheme="minorHAnsi" w:hAnsiTheme="minorHAnsi" w:cstheme="minorHAnsi"/>
        </w:rPr>
        <w:t>.3.2023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4EDBDBFA" w14:textId="77F0341D" w:rsidR="00955566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955566">
        <w:rPr>
          <w:rFonts w:asciiTheme="minorHAnsi" w:hAnsiTheme="minorHAnsi" w:cstheme="minorHAnsi"/>
        </w:rPr>
        <w:t>Veronika Lutonská, jednatel</w:t>
      </w:r>
    </w:p>
    <w:p w14:paraId="359E3ADC" w14:textId="3B8F4FD5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Ředitelka,</w:t>
      </w:r>
      <w:r w:rsidR="00955566">
        <w:rPr>
          <w:rFonts w:asciiTheme="minorHAnsi" w:hAnsiTheme="minorHAnsi" w:cstheme="minorHAnsi"/>
        </w:rPr>
        <w:t xml:space="preserve">   </w:t>
      </w:r>
      <w:proofErr w:type="gramEnd"/>
      <w:r w:rsidR="00955566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955566" w:rsidRPr="00955566">
        <w:rPr>
          <w:rFonts w:asciiTheme="minorHAnsi" w:hAnsiTheme="minorHAnsi" w:cstheme="minorHAnsi"/>
        </w:rPr>
        <w:t>BeFollowed s.r.o.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C7C2CE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520E338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9B9E2D1" w14:textId="67696011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0974FC1" w14:textId="68E9F7CF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2D4BE87" w14:textId="1EFFFC6A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D832401" w14:textId="4102CA5B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319E2B9" w14:textId="62A4843A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C71838E" w14:textId="420A17B3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83BF30A" w14:textId="70780E77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8CFE091" w14:textId="08AC3A46" w:rsidR="005346C2" w:rsidRDefault="005346C2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24447B3" w14:textId="3021CFCF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C2DFD36" w14:textId="667A6463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6A1F62" w14:textId="610D05F2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BA9FC17" w14:textId="247C76BD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5E407A7" w14:textId="2C55166A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749B33A" w14:textId="2C775894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98DEFCB" w14:textId="75C9AD7B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511353A" w14:textId="24BFC755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C4EC372" w14:textId="5152CA6E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B334719" w14:textId="47C29E3A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8AB1336" w14:textId="5EF576DF" w:rsidR="00352DCB" w:rsidRDefault="00352DCB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AD054CD" w14:textId="511212CE" w:rsidR="005346C2" w:rsidRPr="00B678D5" w:rsidRDefault="005346C2" w:rsidP="00D02859">
      <w:pPr>
        <w:rPr>
          <w:rFonts w:asciiTheme="minorHAnsi" w:hAnsiTheme="minorHAnsi" w:cstheme="minorHAnsi"/>
          <w:color w:val="FFFFFF"/>
          <w:sz w:val="32"/>
          <w:szCs w:val="32"/>
        </w:rPr>
      </w:pPr>
    </w:p>
    <w:p w14:paraId="54252969" w14:textId="48F53126" w:rsidR="008B59C5" w:rsidRPr="00B678D5" w:rsidRDefault="008B59C5" w:rsidP="00B678D5">
      <w:pPr>
        <w:pStyle w:val="odrkyChar"/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678D5">
        <w:rPr>
          <w:rFonts w:asciiTheme="minorHAnsi" w:hAnsiTheme="minorHAnsi" w:cstheme="minorHAnsi"/>
          <w:b/>
          <w:bCs/>
          <w:sz w:val="32"/>
          <w:szCs w:val="32"/>
        </w:rPr>
        <w:t xml:space="preserve">Příloha č. 1 – podrobný popis </w:t>
      </w:r>
      <w:r w:rsidR="00E44A5B" w:rsidRPr="00B678D5">
        <w:rPr>
          <w:rFonts w:asciiTheme="minorHAnsi" w:hAnsiTheme="minorHAnsi" w:cstheme="minorHAnsi"/>
          <w:b/>
          <w:bCs/>
          <w:sz w:val="32"/>
          <w:szCs w:val="32"/>
        </w:rPr>
        <w:t xml:space="preserve">předmětu </w:t>
      </w:r>
      <w:r w:rsidRPr="00B678D5">
        <w:rPr>
          <w:rFonts w:asciiTheme="minorHAnsi" w:hAnsiTheme="minorHAnsi" w:cstheme="minorHAnsi"/>
          <w:b/>
          <w:bCs/>
          <w:sz w:val="32"/>
          <w:szCs w:val="32"/>
        </w:rPr>
        <w:t>díla</w:t>
      </w:r>
    </w:p>
    <w:p w14:paraId="5D381D53" w14:textId="3B4B577F" w:rsidR="005346C2" w:rsidRDefault="005346C2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9D8CA3" w14:textId="77F55150" w:rsidR="00A402D3" w:rsidRDefault="006379ED" w:rsidP="006379ED">
      <w:pPr>
        <w:pStyle w:val="odrkyChar"/>
        <w:rPr>
          <w:rFonts w:asciiTheme="minorHAnsi" w:hAnsiTheme="minorHAnsi" w:cstheme="minorHAnsi"/>
        </w:rPr>
      </w:pPr>
      <w:r w:rsidRPr="006379E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ravidelná správa sociálních sítí </w:t>
      </w:r>
      <w:r w:rsidR="00A402D3">
        <w:rPr>
          <w:rFonts w:asciiTheme="minorHAnsi" w:hAnsiTheme="minorHAnsi" w:cstheme="minorHAnsi"/>
        </w:rPr>
        <w:t>– tj. příprava příspěvků na</w:t>
      </w:r>
      <w:r w:rsidR="000F5995">
        <w:rPr>
          <w:rFonts w:asciiTheme="minorHAnsi" w:hAnsiTheme="minorHAnsi" w:cstheme="minorHAnsi"/>
        </w:rPr>
        <w:t xml:space="preserve"> </w:t>
      </w:r>
      <w:r w:rsidRPr="000F5995">
        <w:rPr>
          <w:rFonts w:asciiTheme="minorHAnsi" w:hAnsiTheme="minorHAnsi" w:cstheme="minorHAnsi"/>
          <w:b/>
          <w:bCs/>
        </w:rPr>
        <w:t>Facebook a Instagram</w:t>
      </w:r>
      <w:r w:rsidR="008150C7">
        <w:rPr>
          <w:rFonts w:asciiTheme="minorHAnsi" w:hAnsiTheme="minorHAnsi" w:cstheme="minorHAnsi"/>
          <w:b/>
          <w:bCs/>
        </w:rPr>
        <w:t xml:space="preserve">, </w:t>
      </w:r>
      <w:r w:rsidR="00A402D3">
        <w:rPr>
          <w:rFonts w:asciiTheme="minorHAnsi" w:hAnsiTheme="minorHAnsi" w:cstheme="minorHAnsi"/>
          <w:b/>
          <w:bCs/>
        </w:rPr>
        <w:t>Facebo</w:t>
      </w:r>
      <w:r w:rsidR="008150C7">
        <w:rPr>
          <w:rFonts w:asciiTheme="minorHAnsi" w:hAnsiTheme="minorHAnsi" w:cstheme="minorHAnsi"/>
          <w:b/>
          <w:bCs/>
        </w:rPr>
        <w:t>o</w:t>
      </w:r>
      <w:r w:rsidR="00A402D3">
        <w:rPr>
          <w:rFonts w:asciiTheme="minorHAnsi" w:hAnsiTheme="minorHAnsi" w:cstheme="minorHAnsi"/>
          <w:b/>
          <w:bCs/>
        </w:rPr>
        <w:t>k a Instagram Stories</w:t>
      </w:r>
      <w:r w:rsidR="001855A1" w:rsidRPr="000F5995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</w:rPr>
        <w:t xml:space="preserve"> a to dle</w:t>
      </w:r>
      <w:r w:rsidR="001855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zadání </w:t>
      </w:r>
      <w:r w:rsidR="00AA6BD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požadavků klienta – Východní Morava</w:t>
      </w:r>
      <w:r w:rsidR="00AA6BD2">
        <w:rPr>
          <w:rFonts w:asciiTheme="minorHAnsi" w:hAnsiTheme="minorHAnsi" w:cstheme="minorHAnsi"/>
        </w:rPr>
        <w:t>. Podrobný plán přikládáme v nabídce – podrobný</w:t>
      </w:r>
      <w:r>
        <w:rPr>
          <w:rFonts w:asciiTheme="minorHAnsi" w:hAnsiTheme="minorHAnsi" w:cstheme="minorHAnsi"/>
        </w:rPr>
        <w:t xml:space="preserve"> harmonogram – publikační plán od </w:t>
      </w:r>
      <w:r w:rsidRPr="006379ED">
        <w:rPr>
          <w:rFonts w:asciiTheme="minorHAnsi" w:hAnsiTheme="minorHAnsi" w:cstheme="minorHAnsi"/>
        </w:rPr>
        <w:t>04/</w:t>
      </w:r>
      <w:proofErr w:type="gramStart"/>
      <w:r w:rsidRPr="006379ED">
        <w:rPr>
          <w:rFonts w:asciiTheme="minorHAnsi" w:hAnsiTheme="minorHAnsi" w:cstheme="minorHAnsi"/>
        </w:rPr>
        <w:t>2023 – 11</w:t>
      </w:r>
      <w:proofErr w:type="gramEnd"/>
      <w:r w:rsidRPr="006379ED">
        <w:rPr>
          <w:rFonts w:asciiTheme="minorHAnsi" w:hAnsiTheme="minorHAnsi" w:cstheme="minorHAnsi"/>
        </w:rPr>
        <w:t>/2023</w:t>
      </w:r>
      <w:r>
        <w:rPr>
          <w:rFonts w:asciiTheme="minorHAnsi" w:hAnsiTheme="minorHAnsi" w:cstheme="minorHAnsi"/>
        </w:rPr>
        <w:t>.</w:t>
      </w:r>
    </w:p>
    <w:p w14:paraId="05E96980" w14:textId="687AD230" w:rsidR="006379ED" w:rsidRDefault="006379ED" w:rsidP="006379ED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díla je také vystavení PPC </w:t>
      </w:r>
      <w:r w:rsidR="008150C7">
        <w:rPr>
          <w:rFonts w:asciiTheme="minorHAnsi" w:hAnsiTheme="minorHAnsi" w:cstheme="minorHAnsi"/>
        </w:rPr>
        <w:t xml:space="preserve">kampaní – reklamních </w:t>
      </w:r>
      <w:r>
        <w:rPr>
          <w:rFonts w:asciiTheme="minorHAnsi" w:hAnsiTheme="minorHAnsi" w:cstheme="minorHAnsi"/>
        </w:rPr>
        <w:t xml:space="preserve">bannerů </w:t>
      </w:r>
      <w:r w:rsidR="008150C7">
        <w:rPr>
          <w:rFonts w:asciiTheme="minorHAnsi" w:hAnsiTheme="minorHAnsi" w:cstheme="minorHAnsi"/>
        </w:rPr>
        <w:t xml:space="preserve">pro </w:t>
      </w:r>
      <w:r>
        <w:rPr>
          <w:rFonts w:asciiTheme="minorHAnsi" w:hAnsiTheme="minorHAnsi" w:cstheme="minorHAnsi"/>
        </w:rPr>
        <w:t>Google Ads</w:t>
      </w:r>
      <w:r w:rsidR="008150C7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Sklik. Zároveň také vystavení reklamních kampaní na Facebooku a Instagramu a to tak, abychom naplnil</w:t>
      </w:r>
      <w:r w:rsidR="00AA6BD2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požadavky klienta a splnili stanovené cíle (KPI’s). </w:t>
      </w:r>
    </w:p>
    <w:p w14:paraId="4AE12B06" w14:textId="77777777" w:rsidR="001855A1" w:rsidRDefault="001855A1" w:rsidP="006379ED">
      <w:pPr>
        <w:pStyle w:val="odrkyChar"/>
        <w:rPr>
          <w:rFonts w:asciiTheme="minorHAnsi" w:hAnsiTheme="minorHAnsi" w:cstheme="minorHAnsi"/>
        </w:rPr>
      </w:pPr>
    </w:p>
    <w:p w14:paraId="0DCFE3B2" w14:textId="5EE2FECB" w:rsidR="006379ED" w:rsidRDefault="006379ED" w:rsidP="006379ED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Zároveň se postaráme o</w:t>
      </w:r>
      <w:r w:rsidR="00AA6BD2">
        <w:rPr>
          <w:rFonts w:asciiTheme="minorHAnsi" w:hAnsiTheme="minorHAnsi" w:cstheme="minorHAnsi"/>
        </w:rPr>
        <w:t xml:space="preserve"> online</w:t>
      </w:r>
      <w:r>
        <w:rPr>
          <w:rFonts w:asciiTheme="minorHAnsi" w:hAnsiTheme="minorHAnsi" w:cstheme="minorHAnsi"/>
        </w:rPr>
        <w:t xml:space="preserve"> publikaci PR článku pro Českou a Slovensk</w:t>
      </w:r>
      <w:r w:rsidR="00766C29">
        <w:rPr>
          <w:rFonts w:asciiTheme="minorHAnsi" w:hAnsiTheme="minorHAnsi" w:cstheme="minorHAnsi"/>
        </w:rPr>
        <w:t xml:space="preserve">ou </w:t>
      </w:r>
      <w:r>
        <w:rPr>
          <w:rFonts w:asciiTheme="minorHAnsi" w:hAnsiTheme="minorHAnsi" w:cstheme="minorHAnsi"/>
        </w:rPr>
        <w:t>republiku, které nám dodá zadavatel.</w:t>
      </w:r>
    </w:p>
    <w:p w14:paraId="678C65C0" w14:textId="7EC864D6" w:rsidR="006379ED" w:rsidRDefault="006379ED" w:rsidP="006379ED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Veškerá online komunikace bude mít jednotnou linku</w:t>
      </w:r>
      <w:r w:rsidR="008150C7">
        <w:rPr>
          <w:rFonts w:asciiTheme="minorHAnsi" w:hAnsiTheme="minorHAnsi" w:cstheme="minorHAnsi"/>
        </w:rPr>
        <w:t>, bude nést jednotný styl, aby tato kampaň co nejvíce podpořila brand Východní Moravy a zvýšila povědomí o tomto regionu a jednotlivých zajímavých místech a akcích.</w:t>
      </w:r>
    </w:p>
    <w:p w14:paraId="77497662" w14:textId="77777777" w:rsidR="00766C29" w:rsidRDefault="00766C29" w:rsidP="006379ED">
      <w:pPr>
        <w:pStyle w:val="odrkyChar"/>
        <w:rPr>
          <w:rFonts w:asciiTheme="minorHAnsi" w:hAnsiTheme="minorHAnsi" w:cstheme="minorHAnsi"/>
        </w:rPr>
      </w:pPr>
    </w:p>
    <w:p w14:paraId="0FC77777" w14:textId="00C31AB5" w:rsidR="006379ED" w:rsidRPr="006379ED" w:rsidRDefault="00766C29" w:rsidP="00766C29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Cílem této online kampaně je odkomunikování a odpromování</w:t>
      </w:r>
      <w:r w:rsidR="006379ED" w:rsidRPr="006379ED">
        <w:rPr>
          <w:rFonts w:asciiTheme="minorHAnsi" w:hAnsiTheme="minorHAnsi" w:cstheme="minorHAnsi"/>
        </w:rPr>
        <w:t xml:space="preserve"> minimálně </w:t>
      </w:r>
      <w:proofErr w:type="gramStart"/>
      <w:r w:rsidR="006379ED" w:rsidRPr="006379ED">
        <w:rPr>
          <w:rFonts w:asciiTheme="minorHAnsi" w:hAnsiTheme="minorHAnsi" w:cstheme="minorHAnsi"/>
        </w:rPr>
        <w:t>40ti</w:t>
      </w:r>
      <w:proofErr w:type="gramEnd"/>
      <w:r w:rsidR="006379ED" w:rsidRPr="006379ED">
        <w:rPr>
          <w:rFonts w:asciiTheme="minorHAnsi" w:hAnsiTheme="minorHAnsi" w:cstheme="minorHAnsi"/>
        </w:rPr>
        <w:t xml:space="preserve"> turistických cílů na Východní Moravě, kter</w:t>
      </w:r>
      <w:r>
        <w:rPr>
          <w:rFonts w:asciiTheme="minorHAnsi" w:hAnsiTheme="minorHAnsi" w:cstheme="minorHAnsi"/>
        </w:rPr>
        <w:t xml:space="preserve">é </w:t>
      </w:r>
      <w:r w:rsidR="006379ED" w:rsidRPr="006379ED">
        <w:rPr>
          <w:rFonts w:asciiTheme="minorHAnsi" w:hAnsiTheme="minorHAnsi" w:cstheme="minorHAnsi"/>
        </w:rPr>
        <w:t>jsou zahrnuty v projektu Cestuj a poznávej. A to 4 oblastí: Slovácko, Kroměřížsko, Valašsko, Zlínsko a Luhačovicko. Pro každou oblast konkrétně 10 turistických cílů</w:t>
      </w:r>
      <w:r w:rsidR="008150C7">
        <w:rPr>
          <w:rFonts w:asciiTheme="minorHAnsi" w:hAnsiTheme="minorHAnsi" w:cstheme="minorHAnsi"/>
        </w:rPr>
        <w:t xml:space="preserve"> – konkrétněji až </w:t>
      </w:r>
      <w:r w:rsidR="006379ED" w:rsidRPr="006379ED">
        <w:rPr>
          <w:rFonts w:asciiTheme="minorHAnsi" w:hAnsiTheme="minorHAnsi" w:cstheme="minorHAnsi"/>
        </w:rPr>
        <w:t>po podepsání smlouvy.</w:t>
      </w:r>
    </w:p>
    <w:p w14:paraId="0C0D46EB" w14:textId="77777777" w:rsidR="00766C29" w:rsidRDefault="00766C29" w:rsidP="00766C29">
      <w:pPr>
        <w:pStyle w:val="odrkyChar"/>
        <w:rPr>
          <w:rFonts w:asciiTheme="minorHAnsi" w:hAnsiTheme="minorHAnsi" w:cstheme="minorHAnsi"/>
          <w:b/>
          <w:bCs/>
        </w:rPr>
      </w:pPr>
    </w:p>
    <w:p w14:paraId="3BF3EA6A" w14:textId="0C9E763F" w:rsidR="006379ED" w:rsidRPr="006379ED" w:rsidRDefault="00766C29" w:rsidP="00766C29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1855A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komunikaci se zaměříme na r</w:t>
      </w:r>
      <w:r w:rsidR="006379ED" w:rsidRPr="006379ED">
        <w:rPr>
          <w:rFonts w:asciiTheme="minorHAnsi" w:hAnsiTheme="minorHAnsi" w:cstheme="minorHAnsi"/>
        </w:rPr>
        <w:t>odiny s dětmi, aktivní senio</w:t>
      </w:r>
      <w:r>
        <w:rPr>
          <w:rFonts w:asciiTheme="minorHAnsi" w:hAnsiTheme="minorHAnsi" w:cstheme="minorHAnsi"/>
        </w:rPr>
        <w:t>ry</w:t>
      </w:r>
      <w:r w:rsidR="006379ED" w:rsidRPr="006379ED">
        <w:rPr>
          <w:rFonts w:asciiTheme="minorHAnsi" w:hAnsiTheme="minorHAnsi" w:cstheme="minorHAnsi"/>
        </w:rPr>
        <w:t xml:space="preserve"> 55+ a </w:t>
      </w:r>
      <w:r>
        <w:rPr>
          <w:rFonts w:asciiTheme="minorHAnsi" w:hAnsiTheme="minorHAnsi" w:cstheme="minorHAnsi"/>
        </w:rPr>
        <w:t xml:space="preserve">handicapované </w:t>
      </w:r>
      <w:r w:rsidR="006379ED" w:rsidRPr="006379ED">
        <w:rPr>
          <w:rFonts w:asciiTheme="minorHAnsi" w:hAnsiTheme="minorHAnsi" w:cstheme="minorHAnsi"/>
        </w:rPr>
        <w:t>ve Zlínském, Olomouckém, Moravskoslezském kraji i kraji Jihomoravském, déle příhraničí Slovenska (Žilinský, Trenčínský a Trnavský kraj)</w:t>
      </w:r>
      <w:r>
        <w:rPr>
          <w:rFonts w:asciiTheme="minorHAnsi" w:hAnsiTheme="minorHAnsi" w:cstheme="minorHAnsi"/>
        </w:rPr>
        <w:t xml:space="preserve"> a to tak, abychom zvýšili nejen návštěvnost tohoto regionu, ale zároveň zvýšili i návštěvnost </w:t>
      </w:r>
      <w:r w:rsidR="006379ED" w:rsidRPr="006379ED">
        <w:rPr>
          <w:rFonts w:asciiTheme="minorHAnsi" w:hAnsiTheme="minorHAnsi" w:cstheme="minorHAnsi"/>
        </w:rPr>
        <w:t xml:space="preserve">webu </w:t>
      </w:r>
      <w:hyperlink r:id="rId8" w:history="1">
        <w:r w:rsidR="006379ED" w:rsidRPr="006379ED">
          <w:rPr>
            <w:rStyle w:val="Hypertextovodkaz"/>
            <w:rFonts w:asciiTheme="minorHAnsi" w:hAnsiTheme="minorHAnsi" w:cstheme="minorHAnsi"/>
          </w:rPr>
          <w:t>www.vychodni-morava.cz</w:t>
        </w:r>
      </w:hyperlink>
      <w:r>
        <w:rPr>
          <w:rFonts w:asciiTheme="minorHAnsi" w:hAnsiTheme="minorHAnsi" w:cstheme="minorHAnsi"/>
        </w:rPr>
        <w:t xml:space="preserve"> a s</w:t>
      </w:r>
      <w:r w:rsidR="006379ED" w:rsidRPr="006379ED">
        <w:rPr>
          <w:rFonts w:asciiTheme="minorHAnsi" w:hAnsiTheme="minorHAnsi" w:cstheme="minorHAnsi"/>
        </w:rPr>
        <w:t>ociálních sítí (Instagram, Facebook)</w:t>
      </w:r>
      <w:r>
        <w:rPr>
          <w:rFonts w:asciiTheme="minorHAnsi" w:hAnsiTheme="minorHAnsi" w:cstheme="minorHAnsi"/>
        </w:rPr>
        <w:t>.</w:t>
      </w:r>
    </w:p>
    <w:p w14:paraId="68FC3353" w14:textId="77777777" w:rsidR="00463586" w:rsidRDefault="00463586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4687F5F" w14:textId="2ADF84D7" w:rsidR="005346C2" w:rsidRDefault="005346C2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BF7E38D" w14:textId="77777777" w:rsidR="005346C2" w:rsidRDefault="005346C2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8568C1" w14:textId="3E7F9619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3B7AA365" w14:textId="77777777" w:rsidR="00711AA7" w:rsidRDefault="00711AA7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6AA37630" w14:textId="77777777" w:rsidR="00B064B4" w:rsidRDefault="00B064B4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607697EF" w14:textId="31EA378C" w:rsidR="00B064B4" w:rsidRDefault="000E06EC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0D5D3F77" w14:textId="3CCB7BAB" w:rsidR="000E06EC" w:rsidRDefault="000E06EC" w:rsidP="000E06EC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814158E" w14:textId="77777777" w:rsidR="000E06EC" w:rsidRDefault="000E06EC" w:rsidP="000E06EC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5DA9A56C" w14:textId="37952A16" w:rsidR="001855A1" w:rsidRDefault="000E06EC" w:rsidP="000E06EC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3A20942D" wp14:editId="300B4E66">
            <wp:extent cx="1383030" cy="658162"/>
            <wp:effectExtent l="0" t="0" r="127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49" cy="6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2EB5" w14:textId="63B0B920" w:rsidR="001855A1" w:rsidRDefault="000E06EC" w:rsidP="001855A1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7D2E4F2D" w14:textId="0CBBA8BC" w:rsidR="001855A1" w:rsidRDefault="000E06EC" w:rsidP="001855A1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AFFF6A8" w14:textId="77777777" w:rsidR="001855A1" w:rsidRDefault="001855A1" w:rsidP="001855A1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2987A680" w14:textId="77777777" w:rsidR="001855A1" w:rsidRDefault="001855A1" w:rsidP="001855A1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6A32A747" w14:textId="77777777" w:rsidR="00B064B4" w:rsidRDefault="00B064B4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50CCCF31" w14:textId="77777777" w:rsidR="00B064B4" w:rsidRDefault="00B064B4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70DC6A30" w14:textId="52E29D29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F302A91" w14:textId="4E97420C" w:rsidR="001F39DB" w:rsidRPr="00B678D5" w:rsidRDefault="001F39DB" w:rsidP="00B678D5">
      <w:pPr>
        <w:pStyle w:val="odrkyChar"/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402D3">
        <w:rPr>
          <w:rFonts w:asciiTheme="minorHAnsi" w:hAnsiTheme="minorHAnsi" w:cstheme="minorHAnsi"/>
          <w:b/>
          <w:bCs/>
          <w:sz w:val="32"/>
          <w:szCs w:val="32"/>
        </w:rPr>
        <w:t xml:space="preserve">Příloha č. 2 – podrobný harmonogram </w:t>
      </w:r>
      <w:r w:rsidR="00BC0D1C" w:rsidRPr="00A402D3">
        <w:rPr>
          <w:rFonts w:asciiTheme="minorHAnsi" w:hAnsiTheme="minorHAnsi" w:cstheme="minorHAnsi"/>
          <w:b/>
          <w:bCs/>
          <w:sz w:val="32"/>
          <w:szCs w:val="32"/>
        </w:rPr>
        <w:t>finančních prostředků</w:t>
      </w:r>
    </w:p>
    <w:p w14:paraId="4CEE9379" w14:textId="77777777" w:rsidR="001855A1" w:rsidRDefault="001855A1" w:rsidP="001F39DB">
      <w:pPr>
        <w:pStyle w:val="odrkyChar"/>
        <w:spacing w:before="0" w:after="0"/>
        <w:rPr>
          <w:rFonts w:asciiTheme="minorHAnsi" w:hAnsiTheme="minorHAnsi" w:cstheme="minorHAnsi"/>
          <w:b/>
          <w:bCs/>
        </w:rPr>
      </w:pPr>
    </w:p>
    <w:p w14:paraId="4769E80E" w14:textId="77777777" w:rsidR="001855A1" w:rsidRPr="00B61E98" w:rsidRDefault="001855A1" w:rsidP="001F39DB">
      <w:pPr>
        <w:pStyle w:val="odrkyChar"/>
        <w:spacing w:before="0" w:after="0"/>
        <w:rPr>
          <w:rFonts w:asciiTheme="minorHAnsi" w:hAnsiTheme="minorHAnsi" w:cstheme="minorHAnsi"/>
          <w:b/>
          <w:bCs/>
        </w:rPr>
      </w:pPr>
    </w:p>
    <w:p w14:paraId="5AB4131F" w14:textId="494E7550" w:rsidR="00711AA7" w:rsidRPr="00B064B4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W w:w="98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190"/>
        <w:gridCol w:w="769"/>
        <w:gridCol w:w="763"/>
        <w:gridCol w:w="686"/>
        <w:gridCol w:w="727"/>
        <w:gridCol w:w="686"/>
        <w:gridCol w:w="686"/>
        <w:gridCol w:w="622"/>
        <w:gridCol w:w="750"/>
        <w:gridCol w:w="1440"/>
        <w:gridCol w:w="616"/>
      </w:tblGrid>
      <w:tr w:rsidR="00A402D3" w:rsidRPr="00B064B4" w14:paraId="6ED4FC9C" w14:textId="12FD39DD" w:rsidTr="00A402D3">
        <w:trPr>
          <w:trHeight w:val="5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0F33" w14:textId="77777777" w:rsidR="00A402D3" w:rsidRPr="00B064B4" w:rsidRDefault="00A402D3" w:rsidP="00A402D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Bod výzvy/měsíc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DBC" w14:textId="3589C215" w:rsidR="00A402D3" w:rsidRPr="00B064B4" w:rsidRDefault="00A402D3" w:rsidP="00A402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6B3" w14:textId="5E94276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653" w14:textId="232F8E9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4D64" w14:textId="7E6E66EC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3A2" w14:textId="351C983B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16F" w14:textId="29976DAB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A229" w14:textId="3F04B0A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D9A3" w14:textId="6D0E7B54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F46B" w14:textId="544C022A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619B4" w14:textId="3BC0A2FF" w:rsidR="00A402D3" w:rsidRPr="00A402D3" w:rsidRDefault="00A402D3" w:rsidP="00A402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v Kč (</w:t>
            </w:r>
            <w:r w:rsidR="00800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včetně DPH</w:t>
            </w: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vAlign w:val="bottom"/>
          </w:tcPr>
          <w:p w14:paraId="17A18F75" w14:textId="27D94A85" w:rsidR="00A402D3" w:rsidRPr="00A402D3" w:rsidRDefault="00A402D3" w:rsidP="00A402D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A402D3" w:rsidRPr="00B064B4" w14:paraId="212D96C7" w14:textId="77777777" w:rsidTr="00A402D3">
        <w:trPr>
          <w:gridAfter w:val="1"/>
          <w:wAfter w:w="616" w:type="dxa"/>
          <w:trHeight w:val="2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E00" w14:textId="77777777" w:rsidR="00A402D3" w:rsidRPr="00B064B4" w:rsidRDefault="00A402D3" w:rsidP="00A402D3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D468" w14:textId="77777777" w:rsidR="00A402D3" w:rsidRPr="00A402D3" w:rsidRDefault="00A402D3" w:rsidP="00A402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Uveřejnění PR článků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DBD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1232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EFCB" w14:textId="714B06E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FA51" w14:textId="7D3B094E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B86A" w14:textId="1D700676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7CD3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549E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DA16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0432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7C8107F" w14:textId="22D58E4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60 000</w:t>
            </w:r>
          </w:p>
        </w:tc>
      </w:tr>
      <w:tr w:rsidR="00A402D3" w:rsidRPr="00B064B4" w14:paraId="5B97E646" w14:textId="77777777" w:rsidTr="00A402D3">
        <w:trPr>
          <w:gridAfter w:val="1"/>
          <w:wAfter w:w="616" w:type="dxa"/>
          <w:trHeight w:val="284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46F" w14:textId="77777777" w:rsidR="00A402D3" w:rsidRPr="00B064B4" w:rsidRDefault="00A402D3" w:rsidP="00A402D3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2.8.</w:t>
            </w:r>
          </w:p>
          <w:p w14:paraId="6CC8B5DA" w14:textId="77777777" w:rsidR="00A402D3" w:rsidRPr="00B064B4" w:rsidRDefault="00A402D3" w:rsidP="00A402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C07" w14:textId="77777777" w:rsidR="00A402D3" w:rsidRPr="00A402D3" w:rsidRDefault="00A402D3" w:rsidP="00A402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Výstavba, report, optimalizace kampaní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EAB" w14:textId="759A0463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2624" w14:textId="0A89F5A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FBC3" w14:textId="0F598EEE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22A9" w14:textId="3FD580EA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776D" w14:textId="71FC895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55C2" w14:textId="5A5E9298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C00D" w14:textId="465B126B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4FC" w14:textId="3641D935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2A1015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9FB5325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F3C4B6A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D56F23E" w14:textId="717E060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360 000</w:t>
            </w:r>
          </w:p>
        </w:tc>
      </w:tr>
      <w:tr w:rsidR="00A402D3" w:rsidRPr="00B064B4" w14:paraId="7BCF87D2" w14:textId="77777777" w:rsidTr="00A402D3">
        <w:trPr>
          <w:gridAfter w:val="1"/>
          <w:wAfter w:w="616" w:type="dxa"/>
          <w:trHeight w:val="284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CA5" w14:textId="77777777" w:rsidR="00A402D3" w:rsidRPr="00B064B4" w:rsidRDefault="00A402D3" w:rsidP="00A402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164" w14:textId="77777777" w:rsidR="00A402D3" w:rsidRPr="00A402D3" w:rsidRDefault="00A402D3" w:rsidP="00A402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Média Google Ads/Sklik.cz, META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8F16" w14:textId="1325B2E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1CF3" w14:textId="1EC9DFA6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8DF0" w14:textId="0E4F5C8C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0D2D" w14:textId="0C2AF3CB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3AC9" w14:textId="7BCECCB6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F6C8" w14:textId="276056D9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0E41" w14:textId="35EC29C8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A4E8" w14:textId="361AEE9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48396A" w14:textId="77777777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402D3" w:rsidRPr="00B064B4" w14:paraId="0E66DD1F" w14:textId="77777777" w:rsidTr="00A402D3">
        <w:trPr>
          <w:gridAfter w:val="1"/>
          <w:wAfter w:w="616" w:type="dxa"/>
          <w:trHeight w:val="2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E34" w14:textId="77777777" w:rsidR="00A402D3" w:rsidRPr="00B064B4" w:rsidRDefault="00A402D3" w:rsidP="00A402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64B4">
              <w:rPr>
                <w:rFonts w:ascii="Calibri" w:hAnsi="Calibri" w:cs="Calibri"/>
                <w:color w:val="000000"/>
                <w:sz w:val="16"/>
                <w:szCs w:val="16"/>
              </w:rPr>
              <w:t>2.9.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81A" w14:textId="77777777" w:rsidR="00A402D3" w:rsidRPr="00A402D3" w:rsidRDefault="00A402D3" w:rsidP="00A402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Správa sociálních sítí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B6E9" w14:textId="6CBE5803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DDD6" w14:textId="3DEBC38C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48BC" w14:textId="6C5E0575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4703" w14:textId="3708692D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1B72" w14:textId="22927E8C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F10F" w14:textId="6D2DA803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7DAE" w14:textId="6CDA08F4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3CA7" w14:textId="67892930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A18A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76D7D26" w14:textId="410DB4FB" w:rsidR="00A402D3" w:rsidRPr="00B064B4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145  000</w:t>
            </w:r>
            <w:proofErr w:type="gramEnd"/>
          </w:p>
        </w:tc>
      </w:tr>
      <w:tr w:rsidR="00A402D3" w:rsidRPr="00F420B2" w14:paraId="74AFAF7B" w14:textId="77777777" w:rsidTr="00A402D3">
        <w:trPr>
          <w:gridAfter w:val="1"/>
          <w:wAfter w:w="616" w:type="dxa"/>
          <w:trHeight w:val="2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839" w14:textId="1C5A5116" w:rsidR="00A402D3" w:rsidRPr="00B064B4" w:rsidRDefault="00A402D3" w:rsidP="00A402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1C2" w14:textId="4757CB75" w:rsidR="00A402D3" w:rsidRPr="00A402D3" w:rsidRDefault="00A402D3" w:rsidP="00A402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v Kč (</w:t>
            </w:r>
            <w:r w:rsidR="00800B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včetně</w:t>
            </w:r>
            <w:r w:rsidRPr="00A402D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DPH)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B27" w14:textId="75B051B3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428B" w14:textId="5D292B6A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8D23" w14:textId="1892CD84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4BDC" w14:textId="5583A6F6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1015" w14:textId="1852D62F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FBAE" w14:textId="7EF0350C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F40B" w14:textId="024F1AB1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F575" w14:textId="28D34354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522B" w14:textId="77777777" w:rsidR="00A402D3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B81C54" w14:textId="397B7831" w:rsidR="00A402D3" w:rsidRPr="00A402D3" w:rsidRDefault="00A402D3" w:rsidP="00A402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02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565 000</w:t>
            </w:r>
          </w:p>
          <w:p w14:paraId="5ECCDFB9" w14:textId="1F550A9D" w:rsidR="00A402D3" w:rsidRPr="00F420B2" w:rsidRDefault="00A402D3" w:rsidP="00A402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C07A8EB" w14:textId="4D27B146" w:rsidR="00711AA7" w:rsidRDefault="00711AA7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5DA59675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5FE21130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4CB6E34E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357AEF17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6A91663C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4F0AE929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39A95A54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2C92D80B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7670C8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3B2CC5FD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023B7169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207BA0E2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0F9574F6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75FDBA79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D09D4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0945ECA8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1098AC2C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61152BED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1AB7604D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074D7C88" w14:textId="77777777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p w14:paraId="47ADC00F" w14:textId="3F5F8029" w:rsidR="000E06EC" w:rsidRDefault="000E06EC" w:rsidP="00C45988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7DC3030A" wp14:editId="3D5895A3">
            <wp:extent cx="1383030" cy="658162"/>
            <wp:effectExtent l="0" t="0" r="127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49" cy="6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6EC" w:rsidSect="00E315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214A" w14:textId="77777777" w:rsidR="00E72F6E" w:rsidRDefault="00E72F6E">
      <w:r>
        <w:separator/>
      </w:r>
    </w:p>
  </w:endnote>
  <w:endnote w:type="continuationSeparator" w:id="0">
    <w:p w14:paraId="5433259E" w14:textId="77777777" w:rsidR="00E72F6E" w:rsidRDefault="00E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726A96" w:rsidRDefault="00AF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6683" w14:textId="77777777" w:rsidR="00E72F6E" w:rsidRDefault="00E72F6E">
      <w:r>
        <w:separator/>
      </w:r>
    </w:p>
  </w:footnote>
  <w:footnote w:type="continuationSeparator" w:id="0">
    <w:p w14:paraId="62DA4FD8" w14:textId="77777777" w:rsidR="00E72F6E" w:rsidRDefault="00E7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A01" w14:textId="32E57979" w:rsidR="00560491" w:rsidRDefault="00560491" w:rsidP="00560491">
    <w:pPr>
      <w:pStyle w:val="Zhlav"/>
    </w:pPr>
    <w:bookmarkStart w:id="3" w:name="_Hlk103023145"/>
    <w:r>
      <w:rPr>
        <w:noProof/>
      </w:rPr>
      <w:drawing>
        <wp:anchor distT="0" distB="0" distL="114300" distR="114300" simplePos="0" relativeHeight="251659264" behindDoc="0" locked="0" layoutInCell="1" allowOverlap="1" wp14:anchorId="5553B47D" wp14:editId="0D19D3F8">
          <wp:simplePos x="0" y="0"/>
          <wp:positionH relativeFrom="column">
            <wp:posOffset>635</wp:posOffset>
          </wp:positionH>
          <wp:positionV relativeFrom="paragraph">
            <wp:posOffset>-146050</wp:posOffset>
          </wp:positionV>
          <wp:extent cx="1383030" cy="78613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4" b="21326"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073FFD73" wp14:editId="237231AC">
          <wp:extent cx="1555750" cy="615950"/>
          <wp:effectExtent l="0" t="0" r="6350" b="0"/>
          <wp:docPr id="4" name="Obrázek 4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3CEAD6AE" wp14:editId="2F2BBD97">
          <wp:extent cx="1720850" cy="6921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4173A"/>
    <w:multiLevelType w:val="hybridMultilevel"/>
    <w:tmpl w:val="68B0A83C"/>
    <w:lvl w:ilvl="0" w:tplc="25C0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E3E3D"/>
    <w:multiLevelType w:val="hybridMultilevel"/>
    <w:tmpl w:val="FB36DA18"/>
    <w:lvl w:ilvl="0" w:tplc="6F826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0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C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43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0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A6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E3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E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2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3675CD"/>
    <w:multiLevelType w:val="hybridMultilevel"/>
    <w:tmpl w:val="2F4AA712"/>
    <w:lvl w:ilvl="0" w:tplc="FC1A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27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E3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4A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2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4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EC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EB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82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BA0E0B"/>
    <w:multiLevelType w:val="hybridMultilevel"/>
    <w:tmpl w:val="D3D64C84"/>
    <w:lvl w:ilvl="0" w:tplc="C7DE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22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C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C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8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26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6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0D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9D4E38"/>
    <w:multiLevelType w:val="hybridMultilevel"/>
    <w:tmpl w:val="BA3E55B0"/>
    <w:lvl w:ilvl="0" w:tplc="C9EE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37D62"/>
    <w:multiLevelType w:val="hybridMultilevel"/>
    <w:tmpl w:val="EE4465E4"/>
    <w:lvl w:ilvl="0" w:tplc="51FA7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6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0F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8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C9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2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C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EC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2119">
    <w:abstractNumId w:val="9"/>
  </w:num>
  <w:num w:numId="3" w16cid:durableId="1651246801">
    <w:abstractNumId w:val="17"/>
  </w:num>
  <w:num w:numId="4" w16cid:durableId="1129737188">
    <w:abstractNumId w:val="4"/>
  </w:num>
  <w:num w:numId="5" w16cid:durableId="985933783">
    <w:abstractNumId w:val="10"/>
  </w:num>
  <w:num w:numId="6" w16cid:durableId="1445229384">
    <w:abstractNumId w:val="11"/>
  </w:num>
  <w:num w:numId="7" w16cid:durableId="201555551">
    <w:abstractNumId w:val="15"/>
  </w:num>
  <w:num w:numId="8" w16cid:durableId="85461609">
    <w:abstractNumId w:val="7"/>
  </w:num>
  <w:num w:numId="9" w16cid:durableId="1225948258">
    <w:abstractNumId w:val="3"/>
  </w:num>
  <w:num w:numId="10" w16cid:durableId="1357385035">
    <w:abstractNumId w:val="18"/>
  </w:num>
  <w:num w:numId="11" w16cid:durableId="1821381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728710">
    <w:abstractNumId w:val="2"/>
  </w:num>
  <w:num w:numId="13" w16cid:durableId="1772580174">
    <w:abstractNumId w:val="5"/>
  </w:num>
  <w:num w:numId="14" w16cid:durableId="1889998125">
    <w:abstractNumId w:val="0"/>
  </w:num>
  <w:num w:numId="15" w16cid:durableId="960918690">
    <w:abstractNumId w:val="2"/>
  </w:num>
  <w:num w:numId="16" w16cid:durableId="17434047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09397">
    <w:abstractNumId w:val="6"/>
  </w:num>
  <w:num w:numId="18" w16cid:durableId="18308251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32847">
    <w:abstractNumId w:val="14"/>
  </w:num>
  <w:num w:numId="20" w16cid:durableId="2059428436">
    <w:abstractNumId w:val="12"/>
  </w:num>
  <w:num w:numId="21" w16cid:durableId="1860393997">
    <w:abstractNumId w:val="16"/>
  </w:num>
  <w:num w:numId="22" w16cid:durableId="854226799">
    <w:abstractNumId w:val="8"/>
  </w:num>
  <w:num w:numId="23" w16cid:durableId="677586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44739"/>
    <w:rsid w:val="000475EF"/>
    <w:rsid w:val="00063872"/>
    <w:rsid w:val="0008610C"/>
    <w:rsid w:val="000E06EC"/>
    <w:rsid w:val="000E7DC5"/>
    <w:rsid w:val="000F5995"/>
    <w:rsid w:val="0014270A"/>
    <w:rsid w:val="00165AB8"/>
    <w:rsid w:val="00173314"/>
    <w:rsid w:val="00183D1A"/>
    <w:rsid w:val="001855A1"/>
    <w:rsid w:val="00197A7E"/>
    <w:rsid w:val="001A0A6D"/>
    <w:rsid w:val="001C57E6"/>
    <w:rsid w:val="001C7FAA"/>
    <w:rsid w:val="001F39DB"/>
    <w:rsid w:val="001F580A"/>
    <w:rsid w:val="00234D97"/>
    <w:rsid w:val="0027391C"/>
    <w:rsid w:val="002D3881"/>
    <w:rsid w:val="00352DCB"/>
    <w:rsid w:val="003B600C"/>
    <w:rsid w:val="003E3DF0"/>
    <w:rsid w:val="003F0ECA"/>
    <w:rsid w:val="00415E74"/>
    <w:rsid w:val="004212F9"/>
    <w:rsid w:val="00424388"/>
    <w:rsid w:val="0044699A"/>
    <w:rsid w:val="00463586"/>
    <w:rsid w:val="00477F7E"/>
    <w:rsid w:val="004B5C9F"/>
    <w:rsid w:val="004E3F7E"/>
    <w:rsid w:val="004F1DDA"/>
    <w:rsid w:val="00500C4B"/>
    <w:rsid w:val="005268CF"/>
    <w:rsid w:val="005346C2"/>
    <w:rsid w:val="005439FE"/>
    <w:rsid w:val="00560491"/>
    <w:rsid w:val="00587F12"/>
    <w:rsid w:val="005E79E4"/>
    <w:rsid w:val="00602D35"/>
    <w:rsid w:val="0060527E"/>
    <w:rsid w:val="00632AC9"/>
    <w:rsid w:val="006379ED"/>
    <w:rsid w:val="006563E8"/>
    <w:rsid w:val="006603B8"/>
    <w:rsid w:val="006630CC"/>
    <w:rsid w:val="006957EA"/>
    <w:rsid w:val="006C7FC7"/>
    <w:rsid w:val="007072AB"/>
    <w:rsid w:val="00711AA7"/>
    <w:rsid w:val="007153F4"/>
    <w:rsid w:val="0072176E"/>
    <w:rsid w:val="00723309"/>
    <w:rsid w:val="00732B4F"/>
    <w:rsid w:val="00734EB3"/>
    <w:rsid w:val="007460C7"/>
    <w:rsid w:val="00752FF7"/>
    <w:rsid w:val="00766C29"/>
    <w:rsid w:val="007834DC"/>
    <w:rsid w:val="00783CB6"/>
    <w:rsid w:val="007840DB"/>
    <w:rsid w:val="007B2D04"/>
    <w:rsid w:val="007B65D4"/>
    <w:rsid w:val="007D48DD"/>
    <w:rsid w:val="00800BDE"/>
    <w:rsid w:val="008150C7"/>
    <w:rsid w:val="00821A11"/>
    <w:rsid w:val="008770F9"/>
    <w:rsid w:val="008B59C5"/>
    <w:rsid w:val="008F2C94"/>
    <w:rsid w:val="008F74F3"/>
    <w:rsid w:val="0093469F"/>
    <w:rsid w:val="00945686"/>
    <w:rsid w:val="00955566"/>
    <w:rsid w:val="0096406C"/>
    <w:rsid w:val="0097101C"/>
    <w:rsid w:val="009753DD"/>
    <w:rsid w:val="00995588"/>
    <w:rsid w:val="0099720F"/>
    <w:rsid w:val="009B3C53"/>
    <w:rsid w:val="009B5FEA"/>
    <w:rsid w:val="009C3BD6"/>
    <w:rsid w:val="009E5FA1"/>
    <w:rsid w:val="00A106FA"/>
    <w:rsid w:val="00A13708"/>
    <w:rsid w:val="00A400B8"/>
    <w:rsid w:val="00A402D3"/>
    <w:rsid w:val="00A643D3"/>
    <w:rsid w:val="00A64D2E"/>
    <w:rsid w:val="00A75CDB"/>
    <w:rsid w:val="00AA05D9"/>
    <w:rsid w:val="00AA6BD2"/>
    <w:rsid w:val="00AF2CBE"/>
    <w:rsid w:val="00B064B4"/>
    <w:rsid w:val="00B34C1B"/>
    <w:rsid w:val="00B35461"/>
    <w:rsid w:val="00B35A07"/>
    <w:rsid w:val="00B43DF2"/>
    <w:rsid w:val="00B547DF"/>
    <w:rsid w:val="00B60926"/>
    <w:rsid w:val="00B61E98"/>
    <w:rsid w:val="00B678D5"/>
    <w:rsid w:val="00BA5432"/>
    <w:rsid w:val="00BB4CE5"/>
    <w:rsid w:val="00BC0D1C"/>
    <w:rsid w:val="00BD7E6F"/>
    <w:rsid w:val="00BF6A8C"/>
    <w:rsid w:val="00C00B34"/>
    <w:rsid w:val="00C16117"/>
    <w:rsid w:val="00C26784"/>
    <w:rsid w:val="00C45988"/>
    <w:rsid w:val="00C75BBC"/>
    <w:rsid w:val="00CC3F47"/>
    <w:rsid w:val="00CE05BE"/>
    <w:rsid w:val="00D02859"/>
    <w:rsid w:val="00D251D2"/>
    <w:rsid w:val="00D367A9"/>
    <w:rsid w:val="00D914B6"/>
    <w:rsid w:val="00DA7FF4"/>
    <w:rsid w:val="00DD3C76"/>
    <w:rsid w:val="00DE4029"/>
    <w:rsid w:val="00E00679"/>
    <w:rsid w:val="00E045E5"/>
    <w:rsid w:val="00E13B72"/>
    <w:rsid w:val="00E24195"/>
    <w:rsid w:val="00E41512"/>
    <w:rsid w:val="00E44A5B"/>
    <w:rsid w:val="00E6275B"/>
    <w:rsid w:val="00E64A11"/>
    <w:rsid w:val="00E679BE"/>
    <w:rsid w:val="00E72B5C"/>
    <w:rsid w:val="00E72F6E"/>
    <w:rsid w:val="00EA0ECC"/>
    <w:rsid w:val="00EC420E"/>
    <w:rsid w:val="00F01879"/>
    <w:rsid w:val="00F134C8"/>
    <w:rsid w:val="00F4178A"/>
    <w:rsid w:val="00F622E8"/>
    <w:rsid w:val="00F76883"/>
    <w:rsid w:val="00F819AC"/>
    <w:rsid w:val="00F868DD"/>
    <w:rsid w:val="00F94A4C"/>
    <w:rsid w:val="00FB1517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711AA7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711AA7"/>
    <w:pPr>
      <w:numPr>
        <w:numId w:val="16"/>
      </w:numPr>
      <w:jc w:val="both"/>
    </w:pPr>
    <w:rPr>
      <w:rFonts w:ascii="Arial" w:hAnsi="Arial" w:cs="Arial"/>
      <w:b/>
      <w:sz w:val="28"/>
      <w:szCs w:val="28"/>
    </w:rPr>
  </w:style>
  <w:style w:type="paragraph" w:styleId="Revize">
    <w:name w:val="Revision"/>
    <w:hidden/>
    <w:uiPriority w:val="99"/>
    <w:semiHidden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1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6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chodni-mo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C8B4-1B47-4979-9D65-CDC60921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1938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2023-03-08T08:08:00Z</cp:lastPrinted>
  <dcterms:created xsi:type="dcterms:W3CDTF">2023-04-03T05:53:00Z</dcterms:created>
  <dcterms:modified xsi:type="dcterms:W3CDTF">2023-04-06T08:04:00Z</dcterms:modified>
</cp:coreProperties>
</file>