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26"/>
          <w:b/>
          <w:bCs/>
        </w:rPr>
        <w:t>RÁMCOVÁ KUPNÍ SMLOUVA</w:t>
      </w:r>
      <w:bookmarkEnd w:id="0"/>
    </w:p>
    <w:p>
      <w:pPr>
        <w:pStyle w:val="Style30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both"/>
      </w:pPr>
      <w:bookmarkStart w:id="2" w:name="bookmark2"/>
      <w:r>
        <w:rPr>
          <w:rStyle w:val="CharStyle31"/>
        </w:rPr>
        <w:t>uzavřená v souladu s ustanovením § 2079 a násl. zákona č. 89/2012 Sb., občanský zákoník, 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2741"/>
        <w:gridCol w:w="6379"/>
      </w:tblGrid>
      <w:tr>
        <w:trPr>
          <w:trHeight w:val="4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tabs>
                <w:tab w:pos="1555" w:val="left"/>
                <w:tab w:pos="2866" w:val="left"/>
                <w:tab w:pos="3802" w:val="left"/>
                <w:tab w:pos="571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Zdravotnická</w:t>
              <w:tab/>
              <w:t>záchranná</w:t>
              <w:tab/>
              <w:t>služba</w:t>
              <w:tab/>
              <w:t>Jihomoravského</w:t>
              <w:tab/>
              <w:t>kraje,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příspěvková organizace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Kamenice 798/1d,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MUDr. Hana Albrechtová, ředitelka</w:t>
            </w:r>
          </w:p>
        </w:tc>
      </w:tr>
      <w:tr>
        <w:trPr>
          <w:trHeight w:val="9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Kontaktní osoba: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IČO: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DIČ: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spacing w:val="1"/>
                <w:shd w:val="clear" w:color="auto" w:fill="000000"/>
              </w:rPr>
              <w:t>.</w:t>
            </w:r>
            <w:r>
              <w:rPr>
                <w:rStyle w:val="CharStyle37"/>
                <w:spacing w:val="2"/>
                <w:shd w:val="clear" w:color="auto" w:fill="000000"/>
              </w:rPr>
              <w:t>.............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2"/>
                <w:shd w:val="clear" w:color="auto" w:fill="000000"/>
              </w:rPr>
              <w:t>....</w:t>
            </w:r>
            <w:r>
              <w:rPr>
                <w:rStyle w:val="CharStyle37"/>
                <w:spacing w:val="3"/>
                <w:shd w:val="clear" w:color="auto" w:fill="000000"/>
              </w:rPr>
              <w:t>..........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3"/>
                <w:shd w:val="clear" w:color="auto" w:fill="000000"/>
              </w:rPr>
              <w:t>..</w:t>
            </w:r>
            <w:r>
              <w:rPr>
                <w:rStyle w:val="CharStyle37"/>
                <w:spacing w:val="4"/>
                <w:shd w:val="clear" w:color="auto" w:fill="000000"/>
              </w:rPr>
              <w:t>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4"/>
                <w:shd w:val="clear" w:color="auto" w:fill="000000"/>
              </w:rPr>
              <w:t>.....</w:t>
            </w:r>
            <w:r>
              <w:rPr>
                <w:rStyle w:val="CharStyle37"/>
                <w:spacing w:val="5"/>
                <w:shd w:val="clear" w:color="auto" w:fill="000000"/>
              </w:rPr>
              <w:t>..</w:t>
            </w:r>
            <w:r>
              <w:rPr>
                <w:rStyle w:val="CharStyle37"/>
                <w:shd w:val="clear" w:color="auto" w:fill="000000"/>
              </w:rPr>
              <w:t>.</w:t>
            </w:r>
            <w:r>
              <w:rPr>
                <w:rStyle w:val="CharStyle37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7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</w:t>
            </w:r>
            <w:r>
              <w:rPr>
                <w:rStyle w:val="CharStyle37"/>
                <w:spacing w:val="2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7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7"/>
                <w:shd w:val="clear" w:color="auto" w:fill="000000"/>
              </w:rPr>
              <w:t>.....</w:t>
            </w:r>
            <w:r>
              <w:rPr>
                <w:rStyle w:val="CharStyle37"/>
                <w:spacing w:val="8"/>
                <w:shd w:val="clear" w:color="auto" w:fill="000000"/>
              </w:rPr>
              <w:t>.</w:t>
            </w:r>
            <w:r>
              <w:rPr>
                <w:rStyle w:val="CharStyle37"/>
                <w:shd w:val="clear" w:color="auto" w:fill="000000"/>
              </w:rPr>
              <w:t>​.......</w:t>
            </w:r>
            <w:r>
              <w:rPr>
                <w:rStyle w:val="CharStyle37"/>
                <w:spacing w:val="1"/>
                <w:shd w:val="clear" w:color="auto" w:fill="000000"/>
              </w:rPr>
              <w:t>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8"/>
                <w:shd w:val="clear" w:color="auto" w:fill="000000"/>
              </w:rPr>
              <w:t>.</w:t>
            </w:r>
            <w:r>
              <w:rPr>
                <w:rStyle w:val="CharStyle37"/>
                <w:spacing w:val="9"/>
                <w:shd w:val="clear" w:color="auto" w:fill="000000"/>
              </w:rPr>
              <w:t>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6"/>
                <w:shd w:val="clear" w:color="auto" w:fill="000000"/>
              </w:rPr>
              <w:t>....</w:t>
            </w:r>
            <w:r>
              <w:rPr>
                <w:rStyle w:val="CharStyle37"/>
                <w:spacing w:val="7"/>
                <w:shd w:val="clear" w:color="auto" w:fill="000000"/>
              </w:rPr>
              <w:t>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10"/>
                <w:shd w:val="clear" w:color="auto" w:fill="000000"/>
              </w:rPr>
              <w:t>..</w:t>
            </w:r>
            <w:r>
              <w:rPr>
                <w:rStyle w:val="CharStyle37"/>
                <w:spacing w:val="11"/>
                <w:shd w:val="clear" w:color="auto" w:fill="000000"/>
              </w:rPr>
              <w:t>...</w:t>
            </w:r>
            <w:r>
              <w:rPr>
                <w:rStyle w:val="CharStyle37"/>
              </w:rPr>
              <w:t xml:space="preserve"> 00346292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CZ00346292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Krajský soud v Brně sp. zn. Pr 1245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MONETA Money Bank, a.s., č. ú. 117203514/0600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33"/>
        </w:rPr>
        <w:t>(dále jen „</w:t>
      </w:r>
      <w:r>
        <w:rPr>
          <w:rStyle w:val="CharStyle33"/>
          <w:b/>
          <w:bCs/>
          <w:i/>
          <w:iCs/>
        </w:rPr>
        <w:t>kupující</w:t>
      </w:r>
      <w:r>
        <w:rPr>
          <w:rStyle w:val="CharStyle33"/>
        </w:rPr>
        <w:t>“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41"/>
        <w:gridCol w:w="6374"/>
      </w:tblGrid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a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Medsol s.r.o.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Lužná 591/4, 160 00 Praha 6 - Vokovice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Mgr. Michal Baroš, MBA, jednatel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spacing w:val="9"/>
                <w:shd w:val="clear" w:color="auto" w:fill="000000"/>
              </w:rPr>
              <w:t>......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7"/>
                <w:shd w:val="clear" w:color="auto" w:fill="000000"/>
              </w:rPr>
              <w:t>......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3"/>
                <w:shd w:val="clear" w:color="auto" w:fill="000000"/>
              </w:rPr>
              <w:t>............</w:t>
            </w:r>
            <w:r>
              <w:rPr>
                <w:rStyle w:val="CharStyle37"/>
                <w:spacing w:val="4"/>
                <w:shd w:val="clear" w:color="auto" w:fill="000000"/>
              </w:rPr>
              <w:t>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1"/>
                <w:shd w:val="clear" w:color="auto" w:fill="000000"/>
              </w:rPr>
              <w:t>.........................</w:t>
            </w:r>
            <w:r>
              <w:rPr>
                <w:rStyle w:val="CharStyle37"/>
                <w:shd w:val="clear" w:color="auto" w:fill="000000"/>
              </w:rPr>
              <w:t>..​</w:t>
            </w:r>
            <w:r>
              <w:rPr>
                <w:rStyle w:val="CharStyle37"/>
                <w:spacing w:val="8"/>
                <w:shd w:val="clear" w:color="auto" w:fill="000000"/>
              </w:rPr>
              <w:t>..</w:t>
            </w:r>
            <w:r>
              <w:rPr>
                <w:rStyle w:val="CharStyle37"/>
                <w:spacing w:val="9"/>
                <w:shd w:val="clear" w:color="auto" w:fill="000000"/>
              </w:rPr>
              <w:t>...</w:t>
            </w:r>
            <w:r>
              <w:rPr>
                <w:rStyle w:val="CharStyle37"/>
                <w:shd w:val="clear" w:color="auto" w:fill="000000"/>
              </w:rPr>
              <w:t>​.......</w:t>
            </w:r>
            <w:r>
              <w:rPr>
                <w:rStyle w:val="CharStyle37"/>
                <w:spacing w:val="1"/>
                <w:shd w:val="clear" w:color="auto" w:fill="000000"/>
              </w:rPr>
              <w:t>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8"/>
                <w:shd w:val="clear" w:color="auto" w:fill="000000"/>
              </w:rPr>
              <w:t>.</w:t>
            </w:r>
            <w:r>
              <w:rPr>
                <w:rStyle w:val="CharStyle37"/>
                <w:spacing w:val="9"/>
                <w:shd w:val="clear" w:color="auto" w:fill="000000"/>
              </w:rPr>
              <w:t>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8"/>
                <w:shd w:val="clear" w:color="auto" w:fill="000000"/>
              </w:rPr>
              <w:t>.</w:t>
            </w:r>
            <w:r>
              <w:rPr>
                <w:rStyle w:val="CharStyle37"/>
                <w:spacing w:val="9"/>
                <w:shd w:val="clear" w:color="auto" w:fill="000000"/>
              </w:rPr>
              <w:t>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10"/>
                <w:shd w:val="clear" w:color="auto" w:fill="000000"/>
              </w:rPr>
              <w:t>..</w:t>
            </w:r>
            <w:r>
              <w:rPr>
                <w:rStyle w:val="CharStyle37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10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IČO: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DIČ: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24201596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CZ24201596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zapsán v obchodním rejstříku vedeném Městským soudem v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Praze, oddíl C, vložka 188143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ČSOB, a.s., č.ú. 260001288/ 0300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33"/>
        </w:rPr>
        <w:t>(dále jen „</w:t>
      </w:r>
      <w:r>
        <w:rPr>
          <w:rStyle w:val="CharStyle33"/>
          <w:b/>
          <w:bCs/>
          <w:i/>
          <w:iCs/>
        </w:rPr>
        <w:t>prodávající</w:t>
      </w:r>
      <w:r>
        <w:rPr>
          <w:rStyle w:val="CharStyle33"/>
        </w:rPr>
        <w:t>“)</w:t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260"/>
        <w:ind w:left="440" w:right="0" w:hanging="440"/>
        <w:jc w:val="both"/>
      </w:pPr>
      <w:r>
        <w:rPr>
          <w:rStyle w:val="CharStyle3"/>
        </w:rPr>
        <w:t>Prodávající je oprávněn na základě svého vlastnického práva nakládat s tímto zbožím: příslušenství k videolaryngoskopům McGRATH MAC, jehož specifikace, vč.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340"/>
        <w:ind w:left="440" w:right="0" w:hanging="44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>Součástí dodávky zboží podle čl. 2 této smlouvy je rovněž dodání dokladů, které se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440"/>
        <w:jc w:val="both"/>
      </w:pPr>
      <w:r>
        <w:rPr>
          <w:rStyle w:val="CharStyle3"/>
        </w:rPr>
        <w:t>k dodávanému zboží vztahují a návody k použití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>Prodávající se zavazuje plnit svůj závazek k dodání zboží podle čl. 1 této smlouvy vždy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440" w:right="0" w:firstLine="0"/>
        <w:jc w:val="both"/>
      </w:pPr>
      <w:r>
        <w:rPr>
          <w:rStyle w:val="CharStyle3"/>
        </w:rPr>
        <w:t xml:space="preserve">nejpozději do </w:t>
      </w:r>
      <w:r>
        <w:rPr>
          <w:rStyle w:val="CharStyle3"/>
          <w:b/>
          <w:bCs/>
        </w:rPr>
        <w:t xml:space="preserve">10-ti dní </w:t>
      </w:r>
      <w:r>
        <w:rPr>
          <w:rStyle w:val="CharStyle3"/>
        </w:rPr>
        <w:t>ode dne účinnosti příslušné dílčí kupní smlouvy, nebude-li dohodnuto jinak. Tento závazek se bude považovat za splněný dnem předání a převzetí příslušného zboží formou písemného předávacího protokolu, podepsaného oběma stranami. Místem splnění závazku prodávajícího k dodání zboží je centrální sklad v sídle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Kupující se zavazuje zaplatit prodávajícímu za předmět koupě a prodeje podle čl. 1 této smlouvy kupní cenu ve výši součinu počtu dodaných kusů zboží podle čl. 1 této smlouvy a jednotkových cen tohoto zboží dle přílohy č. 1 k této smlouvě.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3"/>
          <w:spacing w:val="55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CharStyle3"/>
          <w:color w:val="0000FF"/>
          <w:lang w:val="en-US" w:eastAsia="en-US" w:bidi="en-US"/>
        </w:rPr>
        <w:t xml:space="preserve"> </w:t>
      </w:r>
      <w:r>
        <w:rPr>
          <w:rStyle w:val="CharStyle3"/>
        </w:rPr>
        <w:t xml:space="preserve">. Na faktuře musí být mimo jiné vždy uvedeno toto číslo veřejné zakázky, ke které se faktura vztahuje: </w:t>
      </w:r>
      <w:r>
        <w:rPr>
          <w:rStyle w:val="CharStyle3"/>
          <w:rFonts w:ascii="Tahoma" w:eastAsia="Tahoma" w:hAnsi="Tahoma" w:cs="Tahoma"/>
          <w:b/>
          <w:bCs/>
          <w:sz w:val="19"/>
          <w:szCs w:val="19"/>
        </w:rPr>
        <w:t>P23V00000921</w:t>
      </w:r>
      <w:r>
        <w:rPr>
          <w:rStyle w:val="CharStyle3"/>
        </w:rPr>
        <w:t>. 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S převodem zboží je podle čl. 1 této smlouvy spojena záruka za jeho jakost v trvání 12 měsíců ode dne splnění závazku prodávajícího k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vyskytnou, a to ve lhůtě do 4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podle čl. 7 této smlouvy bez DPH za každý započatý den tohoto prodlení. Pro případ prodlení s odstraněním vady ve lhůtě podle čl. 9 této smlouvy se prodávající zavazuje platit kupujícímu smluvní pokutu ve výši 500,- Kč za každý započatý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360"/>
        <w:ind w:left="440" w:right="0" w:hanging="44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tuto smlouvu písemnou výpovědí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Tato smlouva nabývá platnosti dnem jejího uzavření po jejím podpisu oběma smluvními stranami a účinnosti dnem jejího uveřejnění v Registru smluv, nejdříve však 19. 5. 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>Tato smlouva se uzavírá na dobu určitou, a to do 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540"/>
        <w:ind w:left="440" w:right="0" w:hanging="44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184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664210" cy="1587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400000000000006pt;margin-top:1.pt;width:52.300000000000004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</w:rPr>
        <w:t>V Praze dne 28.3.2023</w:t>
      </w:r>
    </w:p>
    <w:p>
      <w:pPr>
        <w:pStyle w:val="Style62"/>
        <w:keepNext w:val="0"/>
        <w:keepLines w:val="0"/>
        <w:widowControl w:val="0"/>
        <w:shd w:val="clear" w:color="auto" w:fill="auto"/>
        <w:tabs>
          <w:tab w:pos="219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rStyle w:val="CharStyle63"/>
          <w:rFonts w:ascii="Arial" w:eastAsia="Arial" w:hAnsi="Arial" w:cs="Arial"/>
          <w:b/>
          <w:bCs/>
          <w:spacing w:val="13"/>
          <w:sz w:val="20"/>
          <w:szCs w:val="20"/>
          <w:shd w:val="clear" w:color="auto" w:fill="000000"/>
        </w:rPr>
        <w:t>..</w:t>
      </w:r>
      <w:r>
        <w:rPr>
          <w:rStyle w:val="CharStyle63"/>
          <w:rFonts w:ascii="Arial" w:eastAsia="Arial" w:hAnsi="Arial" w:cs="Arial"/>
          <w:b/>
          <w:bCs/>
          <w:spacing w:val="14"/>
          <w:sz w:val="20"/>
          <w:szCs w:val="20"/>
          <w:shd w:val="clear" w:color="auto" w:fill="000000"/>
        </w:rPr>
        <w:t>..</w:t>
      </w:r>
      <w:r>
        <w:rPr>
          <w:rStyle w:val="CharStyle63"/>
          <w:rFonts w:ascii="Arial" w:eastAsia="Arial" w:hAnsi="Arial" w:cs="Arial"/>
          <w:b/>
          <w:bCs/>
          <w:spacing w:val="2"/>
          <w:sz w:val="20"/>
          <w:szCs w:val="20"/>
          <w:shd w:val="clear" w:color="auto" w:fill="000000"/>
        </w:rPr>
        <w:t>...................</w:t>
      </w:r>
      <w:r>
        <w:rPr>
          <w:rStyle w:val="CharStyle63"/>
          <w:rFonts w:ascii="Arial" w:eastAsia="Arial" w:hAnsi="Arial" w:cs="Arial"/>
          <w:b/>
          <w:bCs/>
          <w:spacing w:val="3"/>
          <w:sz w:val="20"/>
          <w:szCs w:val="20"/>
          <w:shd w:val="clear" w:color="auto" w:fill="000000"/>
        </w:rPr>
        <w:t>.....</w:t>
      </w:r>
      <w:r>
        <w:rPr>
          <w:rStyle w:val="CharStyle63"/>
          <w:spacing w:val="1"/>
          <w:shd w:val="clear" w:color="auto" w:fill="000000"/>
        </w:rPr>
        <w:t>.................</w:t>
      </w:r>
      <w:r>
        <w:rPr>
          <w:rStyle w:val="CharStyle63"/>
          <w:spacing w:val="2"/>
          <w:shd w:val="clear" w:color="auto" w:fill="000000"/>
        </w:rPr>
        <w:t>..</w:t>
      </w:r>
      <w:r>
        <w:rPr>
          <w:rStyle w:val="CharStyle63"/>
          <w:shd w:val="clear" w:color="auto" w:fill="000000"/>
        </w:rPr>
        <w:t>​</w:t>
      </w:r>
      <w:r>
        <w:rPr>
          <w:rStyle w:val="CharStyle63"/>
          <w:spacing w:val="1"/>
          <w:shd w:val="clear" w:color="auto" w:fill="000000"/>
        </w:rPr>
        <w:t>.</w:t>
      </w:r>
      <w:r>
        <w:rPr>
          <w:rStyle w:val="CharStyle63"/>
          <w:spacing w:val="2"/>
          <w:shd w:val="clear" w:color="auto" w:fill="000000"/>
        </w:rPr>
        <w:t>..................</w:t>
      </w:r>
      <w:r>
        <w:rPr>
          <w:rStyle w:val="CharStyle63"/>
          <w:shd w:val="clear" w:color="auto" w:fill="000000"/>
        </w:rPr>
        <w:t>​......</w:t>
      </w:r>
      <w:r>
        <w:rPr>
          <w:rStyle w:val="CharStyle63"/>
          <w:spacing w:val="1"/>
          <w:shd w:val="clear" w:color="auto" w:fill="000000"/>
        </w:rPr>
        <w:t>.......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60" w:line="180" w:lineRule="auto"/>
        <w:ind w:left="0" w:right="0" w:firstLine="0"/>
        <w:jc w:val="both"/>
      </w:pPr>
      <w:r>
        <w:rPr>
          <w:rStyle w:val="CharStyle63"/>
          <w:rFonts w:ascii="Arial" w:eastAsia="Arial" w:hAnsi="Arial" w:cs="Arial"/>
          <w:spacing w:val="1"/>
          <w:sz w:val="36"/>
          <w:szCs w:val="36"/>
          <w:shd w:val="clear" w:color="auto" w:fill="000000"/>
          <w:vertAlign w:val="superscript"/>
        </w:rPr>
        <w:t>......</w:t>
      </w:r>
      <w:r>
        <w:rPr>
          <w:rStyle w:val="CharStyle63"/>
          <w:rFonts w:ascii="Arial" w:eastAsia="Arial" w:hAnsi="Arial" w:cs="Arial"/>
          <w:spacing w:val="2"/>
          <w:sz w:val="36"/>
          <w:szCs w:val="36"/>
          <w:shd w:val="clear" w:color="auto" w:fill="000000"/>
          <w:vertAlign w:val="superscript"/>
        </w:rPr>
        <w:t>..</w:t>
      </w:r>
      <w:r>
        <w:rPr>
          <w:rStyle w:val="CharStyle63"/>
          <w:rFonts w:ascii="Arial" w:eastAsia="Arial" w:hAnsi="Arial" w:cs="Arial"/>
          <w:sz w:val="36"/>
          <w:szCs w:val="36"/>
          <w:shd w:val="clear" w:color="auto" w:fill="000000"/>
        </w:rPr>
        <w:t>...​</w:t>
      </w:r>
      <w:r>
        <w:rPr>
          <w:rStyle w:val="CharStyle63"/>
          <w:rFonts w:ascii="Arial" w:eastAsia="Arial" w:hAnsi="Arial" w:cs="Arial"/>
          <w:spacing w:val="6"/>
          <w:sz w:val="36"/>
          <w:szCs w:val="36"/>
          <w:shd w:val="clear" w:color="auto" w:fill="000000"/>
        </w:rPr>
        <w:t>...</w:t>
      </w:r>
      <w:r>
        <w:rPr>
          <w:rStyle w:val="CharStyle63"/>
          <w:rFonts w:ascii="Arial" w:eastAsia="Arial" w:hAnsi="Arial" w:cs="Arial"/>
          <w:spacing w:val="7"/>
          <w:sz w:val="36"/>
          <w:szCs w:val="36"/>
          <w:shd w:val="clear" w:color="auto" w:fill="000000"/>
        </w:rPr>
        <w:t>......</w:t>
      </w:r>
      <w:r>
        <w:rPr>
          <w:rStyle w:val="CharStyle63"/>
          <w:shd w:val="clear" w:color="auto" w:fill="000000"/>
        </w:rPr>
        <w:t>​</w:t>
      </w:r>
      <w:r>
        <w:rPr>
          <w:rStyle w:val="CharStyle63"/>
          <w:spacing w:val="3"/>
          <w:shd w:val="clear" w:color="auto" w:fill="000000"/>
        </w:rPr>
        <w:t>..........</w:t>
      </w:r>
      <w:r>
        <w:rPr>
          <w:rStyle w:val="CharStyle63"/>
          <w:spacing w:val="4"/>
          <w:shd w:val="clear" w:color="auto" w:fill="000000"/>
        </w:rPr>
        <w:t>.</w:t>
      </w:r>
      <w:r>
        <w:rPr>
          <w:rStyle w:val="CharStyle63"/>
          <w:shd w:val="clear" w:color="auto" w:fill="000000"/>
        </w:rPr>
        <w:t>​........</w:t>
      </w:r>
      <w:r>
        <w:rPr>
          <w:rStyle w:val="CharStyle63"/>
          <w:spacing w:val="1"/>
          <w:shd w:val="clear" w:color="auto" w:fill="000000"/>
        </w:rPr>
        <w:t>................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4215765</wp:posOffset>
                </wp:positionH>
                <wp:positionV relativeFrom="paragraph">
                  <wp:posOffset>12700</wp:posOffset>
                </wp:positionV>
                <wp:extent cx="1816735" cy="21018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673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z w:val="20"/>
                                <w:szCs w:val="20"/>
                                <w:shd w:val="clear" w:color="auto" w:fill="000000"/>
                              </w:rPr>
                              <w:t>.​....​..</w:t>
                            </w:r>
                            <w:r>
                              <w:rPr>
                                <w:rStyle w:val="CharStyle5"/>
                                <w:i/>
                                <w:iCs/>
                                <w:sz w:val="13"/>
                                <w:szCs w:val="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i/>
                                <w:iCs/>
                                <w:spacing w:val="1"/>
                                <w:sz w:val="13"/>
                                <w:szCs w:val="1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i/>
                                <w:iCs/>
                                <w:spacing w:val="2"/>
                                <w:sz w:val="13"/>
                                <w:szCs w:val="1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z w:val="20"/>
                                <w:szCs w:val="20"/>
                                <w:shd w:val="clear" w:color="auto" w:fill="000000"/>
                              </w:rPr>
                              <w:t>.​..​..</w:t>
                            </w:r>
                            <w:r>
                              <w:rPr>
                                <w:rStyle w:val="CharStyle5"/>
                                <w:sz w:val="20"/>
                                <w:szCs w:val="20"/>
                                <w:u w:val="single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0"/>
                                <w:sz w:val="20"/>
                                <w:szCs w:val="20"/>
                                <w:u w:val="single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11"/>
                                <w:sz w:val="20"/>
                                <w:szCs w:val="20"/>
                                <w:u w:val="single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z w:val="20"/>
                                <w:szCs w:val="20"/>
                                <w:shd w:val="clear" w:color="auto" w:fill="000000"/>
                              </w:rPr>
                              <w:t>.​..​</w:t>
                            </w:r>
                            <w:r>
                              <w:rPr>
                                <w:rStyle w:val="CharStyle5"/>
                                <w:spacing w:val="7"/>
                                <w:sz w:val="20"/>
                                <w:szCs w:val="2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0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11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-47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1"/>
                                <w:sz w:val="20"/>
                                <w:szCs w:val="2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pacing w:val="2"/>
                                <w:sz w:val="20"/>
                                <w:szCs w:val="20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z w:val="20"/>
                                <w:szCs w:val="20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5"/>
                                <w:spacing w:val="3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​...................​...............​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pacing w:val="-7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1.94999999999999pt;margin-top:1.pt;width:143.05000000000001pt;height:16.5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z w:val="20"/>
                          <w:szCs w:val="20"/>
                          <w:shd w:val="clear" w:color="auto" w:fill="000000"/>
                        </w:rPr>
                        <w:t>.​....​..</w:t>
                      </w:r>
                      <w:r>
                        <w:rPr>
                          <w:rStyle w:val="CharStyle5"/>
                          <w:i/>
                          <w:iCs/>
                          <w:sz w:val="13"/>
                          <w:szCs w:val="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i/>
                          <w:iCs/>
                          <w:spacing w:val="1"/>
                          <w:sz w:val="13"/>
                          <w:szCs w:val="1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i/>
                          <w:iCs/>
                          <w:spacing w:val="2"/>
                          <w:sz w:val="13"/>
                          <w:szCs w:val="1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z w:val="20"/>
                          <w:szCs w:val="20"/>
                          <w:shd w:val="clear" w:color="auto" w:fill="000000"/>
                        </w:rPr>
                        <w:t>.​..​..</w:t>
                      </w:r>
                      <w:r>
                        <w:rPr>
                          <w:rStyle w:val="CharStyle5"/>
                          <w:sz w:val="20"/>
                          <w:szCs w:val="20"/>
                          <w:u w:val="single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0"/>
                          <w:sz w:val="20"/>
                          <w:szCs w:val="20"/>
                          <w:u w:val="single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pacing w:val="11"/>
                          <w:sz w:val="20"/>
                          <w:szCs w:val="20"/>
                          <w:u w:val="single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z w:val="20"/>
                          <w:szCs w:val="20"/>
                          <w:shd w:val="clear" w:color="auto" w:fill="000000"/>
                        </w:rPr>
                        <w:t>.​..​</w:t>
                      </w:r>
                      <w:r>
                        <w:rPr>
                          <w:rStyle w:val="CharStyle5"/>
                          <w:spacing w:val="7"/>
                          <w:sz w:val="20"/>
                          <w:szCs w:val="2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0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pacing w:val="11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pacing w:val="-47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pacing w:val="1"/>
                          <w:sz w:val="20"/>
                          <w:szCs w:val="2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pacing w:val="2"/>
                          <w:sz w:val="20"/>
                          <w:szCs w:val="20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z w:val="20"/>
                          <w:szCs w:val="20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5"/>
                          <w:spacing w:val="3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​...................​...............​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pacing w:val="-7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63"/>
          <w:shd w:val="clear" w:color="auto" w:fill="000000"/>
        </w:rPr>
        <w:t>....................</w:t>
      </w:r>
      <w:r>
        <w:rPr>
          <w:rStyle w:val="CharStyle63"/>
          <w:spacing w:val="1"/>
          <w:shd w:val="clear" w:color="auto" w:fill="000000"/>
        </w:rPr>
        <w:t>......</w:t>
      </w:r>
      <w:r>
        <w:rPr>
          <w:rStyle w:val="CharStyle63"/>
          <w:shd w:val="clear" w:color="auto" w:fill="000000"/>
          <w:vertAlign w:val="superscript"/>
        </w:rPr>
        <w:t>​..................</w:t>
      </w:r>
      <w:r>
        <w:rPr>
          <w:rStyle w:val="CharStyle63"/>
          <w:spacing w:val="1"/>
          <w:shd w:val="clear" w:color="auto" w:fill="000000"/>
          <w:vertAlign w:val="superscript"/>
        </w:rPr>
        <w:t>......</w:t>
      </w:r>
      <w:r>
        <w:rPr>
          <w:rStyle w:val="CharStyle63"/>
          <w:shd w:val="clear" w:color="auto" w:fill="000000"/>
        </w:rPr>
        <w:t>.</w:t>
      </w:r>
      <w:r>
        <w:rPr>
          <w:rStyle w:val="CharStyle63"/>
          <w:spacing w:val="6"/>
          <w:shd w:val="clear" w:color="auto" w:fill="000000"/>
          <w:vertAlign w:val="superscript"/>
        </w:rPr>
        <w:t>.</w:t>
      </w:r>
      <w:r>
        <w:rPr>
          <w:rStyle w:val="CharStyle63"/>
          <w:spacing w:val="7"/>
          <w:shd w:val="clear" w:color="auto" w:fill="000000"/>
          <w:vertAlign w:val="superscript"/>
        </w:rPr>
        <w:t>.</w:t>
      </w:r>
      <w:r>
        <w:rPr>
          <w:rStyle w:val="CharStyle63"/>
          <w:spacing w:val="6"/>
          <w:shd w:val="clear" w:color="auto" w:fill="000000"/>
        </w:rPr>
        <w:t>..</w:t>
      </w:r>
      <w:r>
        <w:rPr>
          <w:rStyle w:val="CharStyle63"/>
          <w:spacing w:val="7"/>
          <w:shd w:val="clear" w:color="auto" w:fill="000000"/>
        </w:rPr>
        <w:t>.</w:t>
      </w:r>
      <w:r>
        <w:rPr>
          <w:rStyle w:val="CharStyle63"/>
          <w:shd w:val="clear" w:color="auto" w:fill="000000"/>
          <w:vertAlign w:val="superscript"/>
        </w:rPr>
        <w:t>.....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180" w:line="180" w:lineRule="auto"/>
        <w:ind w:left="0" w:right="0" w:firstLine="0"/>
        <w:jc w:val="both"/>
      </w:pPr>
      <w:r>
        <w:rPr>
          <w:rStyle w:val="CharStyle63"/>
          <w:rFonts w:ascii="Arial" w:eastAsia="Arial" w:hAnsi="Arial" w:cs="Arial"/>
          <w:spacing w:val="4"/>
          <w:sz w:val="36"/>
          <w:szCs w:val="36"/>
          <w:shd w:val="clear" w:color="auto" w:fill="000000"/>
          <w:vertAlign w:val="superscript"/>
        </w:rPr>
        <w:t>...</w:t>
      </w:r>
      <w:r>
        <w:rPr>
          <w:rStyle w:val="CharStyle63"/>
          <w:rFonts w:ascii="Arial" w:eastAsia="Arial" w:hAnsi="Arial" w:cs="Arial"/>
          <w:spacing w:val="6"/>
          <w:sz w:val="36"/>
          <w:szCs w:val="36"/>
          <w:shd w:val="clear" w:color="auto" w:fill="000000"/>
        </w:rPr>
        <w:t>.</w:t>
      </w:r>
      <w:r>
        <w:rPr>
          <w:rStyle w:val="CharStyle63"/>
          <w:rFonts w:ascii="Arial" w:eastAsia="Arial" w:hAnsi="Arial" w:cs="Arial"/>
          <w:spacing w:val="7"/>
          <w:sz w:val="36"/>
          <w:szCs w:val="36"/>
          <w:shd w:val="clear" w:color="auto" w:fill="000000"/>
        </w:rPr>
        <w:t>..</w:t>
      </w:r>
      <w:r>
        <w:rPr>
          <w:rStyle w:val="CharStyle63"/>
          <w:rFonts w:ascii="Arial" w:eastAsia="Arial" w:hAnsi="Arial" w:cs="Arial"/>
          <w:spacing w:val="66"/>
          <w:sz w:val="36"/>
          <w:szCs w:val="36"/>
          <w:shd w:val="clear" w:color="auto" w:fill="000000"/>
          <w:vertAlign w:val="superscript"/>
        </w:rPr>
        <w:t>.</w:t>
      </w:r>
      <w:r>
        <w:rPr>
          <w:rStyle w:val="CharStyle63"/>
          <w:rFonts w:ascii="Arial" w:eastAsia="Arial" w:hAnsi="Arial" w:cs="Arial"/>
          <w:spacing w:val="16"/>
          <w:sz w:val="36"/>
          <w:szCs w:val="36"/>
          <w:shd w:val="clear" w:color="auto" w:fill="000000"/>
        </w:rPr>
        <w:t>.....</w:t>
      </w:r>
      <w:r>
        <w:rPr>
          <w:rStyle w:val="CharStyle63"/>
          <w:rFonts w:ascii="Arial" w:eastAsia="Arial" w:hAnsi="Arial" w:cs="Arial"/>
          <w:spacing w:val="10"/>
          <w:sz w:val="36"/>
          <w:szCs w:val="36"/>
          <w:shd w:val="clear" w:color="auto" w:fill="000000"/>
          <w:vertAlign w:val="superscript"/>
        </w:rPr>
        <w:t>....</w:t>
      </w:r>
      <w:r>
        <w:rPr>
          <w:rStyle w:val="CharStyle63"/>
          <w:rFonts w:ascii="Arial" w:eastAsia="Arial" w:hAnsi="Arial" w:cs="Arial"/>
          <w:spacing w:val="11"/>
          <w:sz w:val="36"/>
          <w:szCs w:val="36"/>
          <w:shd w:val="clear" w:color="auto" w:fill="000000"/>
          <w:vertAlign w:val="superscript"/>
        </w:rPr>
        <w:t>.</w:t>
      </w:r>
      <w:r>
        <w:rPr>
          <w:rStyle w:val="CharStyle63"/>
          <w:rFonts w:ascii="Arial" w:eastAsia="Arial" w:hAnsi="Arial" w:cs="Arial"/>
          <w:sz w:val="36"/>
          <w:szCs w:val="36"/>
          <w:shd w:val="clear" w:color="auto" w:fill="000000"/>
        </w:rPr>
        <w:t>.</w:t>
      </w:r>
      <w:r>
        <w:rPr>
          <w:rStyle w:val="CharStyle63"/>
          <w:shd w:val="clear" w:color="auto" w:fill="000000"/>
        </w:rPr>
        <w:t>​...........</w:t>
      </w:r>
      <w:r>
        <w:rPr>
          <w:rStyle w:val="CharStyle63"/>
          <w:spacing w:val="1"/>
          <w:shd w:val="clear" w:color="auto" w:fill="000000"/>
        </w:rPr>
        <w:t>.......</w:t>
      </w:r>
      <w:r>
        <w:rPr>
          <w:rStyle w:val="CharStyle63"/>
          <w:shd w:val="clear" w:color="auto" w:fill="000000"/>
        </w:rPr>
        <w:t>​.......</w:t>
      </w:r>
      <w:r>
        <w:rPr>
          <w:rStyle w:val="CharStyle63"/>
          <w:spacing w:val="1"/>
          <w:shd w:val="clear" w:color="auto" w:fill="000000"/>
        </w:rPr>
        <w:t>........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3500" distB="0" distL="0" distR="0" simplePos="0" relativeHeight="125829382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63500</wp:posOffset>
                </wp:positionV>
                <wp:extent cx="1438910" cy="51498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.600000000000009pt;margin-top:5.pt;width:113.3pt;height:40.550000000000004pt;z-index:-125829371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0" distR="0" simplePos="0" relativeHeight="125829384" behindDoc="0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63500</wp:posOffset>
                </wp:positionV>
                <wp:extent cx="1410970" cy="51498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Mgr. Michal Baroš, MBA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9.5pt;margin-top:5.pt;width:111.10000000000001pt;height:40.550000000000004pt;z-index:-125829369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Mgr. Michal Baroš, MBA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1: Seznam zboží, Ceník</w:t>
      </w:r>
    </w:p>
    <w:tbl>
      <w:tblPr>
        <w:tblOverlap w:val="never"/>
        <w:jc w:val="center"/>
        <w:tblLayout w:type="fixed"/>
      </w:tblPr>
      <w:tblGrid>
        <w:gridCol w:w="3235"/>
        <w:gridCol w:w="1699"/>
        <w:gridCol w:w="1987"/>
        <w:gridCol w:w="2386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7"/>
                <w:b/>
                <w:bCs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7"/>
                <w:b/>
                <w:bCs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rStyle w:val="CharStyle37"/>
                <w:b/>
                <w:bCs/>
              </w:rPr>
              <w:t>Jednotková cena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rStyle w:val="CharStyle37"/>
                <w:b/>
                <w:bCs/>
              </w:rPr>
              <w:t>Jednotková cena v Kč vč. DPH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McGRATH</w:t>
            </w:r>
            <w:r>
              <w:rPr>
                <w:rStyle w:val="CharStyle37"/>
              </w:rPr>
              <w:t xml:space="preserve">® </w:t>
            </w:r>
            <w:r>
              <w:rPr>
                <w:rStyle w:val="CharStyle37"/>
                <w:b/>
                <w:bCs/>
              </w:rPr>
              <w:t>MAC lžíce č.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7"/>
              </w:rPr>
              <w:t>Balení (50 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7"/>
              </w:rPr>
              <w:t>12.500,-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37"/>
              </w:rPr>
              <w:t>15.125,-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McGRATH</w:t>
            </w:r>
            <w:r>
              <w:rPr>
                <w:rStyle w:val="CharStyle37"/>
              </w:rPr>
              <w:t xml:space="preserve">® </w:t>
            </w:r>
            <w:r>
              <w:rPr>
                <w:rStyle w:val="CharStyle37"/>
                <w:b/>
                <w:bCs/>
              </w:rPr>
              <w:t>MAC lžíce č.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7"/>
              </w:rPr>
              <w:t>Balení (50 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7"/>
              </w:rPr>
              <w:t>12.000,-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37"/>
              </w:rPr>
              <w:t>14.520,-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McGRATH</w:t>
            </w:r>
            <w:r>
              <w:rPr>
                <w:rStyle w:val="CharStyle37"/>
              </w:rPr>
              <w:t xml:space="preserve">® </w:t>
            </w:r>
            <w:r>
              <w:rPr>
                <w:rStyle w:val="CharStyle37"/>
                <w:b/>
                <w:bCs/>
              </w:rPr>
              <w:t>MAC lžíce č.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7"/>
              </w:rPr>
              <w:t>Balení (50 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7"/>
              </w:rPr>
              <w:t>12.000,-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37"/>
              </w:rPr>
              <w:t>14.520,-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McGRATH</w:t>
            </w:r>
            <w:r>
              <w:rPr>
                <w:rStyle w:val="CharStyle37"/>
              </w:rPr>
              <w:t xml:space="preserve">® </w:t>
            </w:r>
            <w:r>
              <w:rPr>
                <w:rStyle w:val="CharStyle37"/>
                <w:b/>
                <w:bCs/>
              </w:rPr>
              <w:t>MAC lžíce č.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7"/>
              </w:rPr>
              <w:t>Balení (50 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7"/>
              </w:rPr>
              <w:t>12.000,-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37"/>
              </w:rPr>
              <w:t>14.520,-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McGRATH</w:t>
            </w:r>
            <w:r>
              <w:rPr>
                <w:rStyle w:val="CharStyle37"/>
              </w:rPr>
              <w:t xml:space="preserve">® </w:t>
            </w:r>
            <w:r>
              <w:rPr>
                <w:rStyle w:val="CharStyle37"/>
                <w:b/>
                <w:bCs/>
              </w:rPr>
              <w:t>MAC X lžíce č.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7"/>
              </w:rPr>
              <w:t>Balení (10 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7"/>
              </w:rPr>
              <w:t>9.000,-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37"/>
              </w:rPr>
              <w:t>10.890,-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250 minutová baterie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7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7"/>
              </w:rPr>
              <w:t>1.225,-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7"/>
              </w:rPr>
              <w:t>1.482,25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rStyle w:val="CharStyle33"/>
          <w:b/>
          <w:bCs/>
        </w:rPr>
        <w:t>Pozn: jedná se o originální příslušenství.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412" w:right="1291" w:bottom="1654" w:left="1301" w:header="984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10028555</wp:posOffset>
              </wp:positionV>
              <wp:extent cx="3837305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3730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8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Veřejná zakázka 20_2023: Příslušenství k videolaryngoskopům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1.799999999999997pt;margin-top:789.64999999999998pt;width:302.15000000000003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8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Veřejná zakázka 20_2023: Příslušenství k videolaryngoskopům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6">
    <w:name w:val="Nadpis #1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CharStyle28">
    <w:name w:val="Záhlaví nebo zápatí (2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Nadpis #2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Titulek tabulky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7">
    <w:name w:val="Jiné_"/>
    <w:basedOn w:val="DefaultParagraphFont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3">
    <w:name w:val="Základní text (2)_"/>
    <w:basedOn w:val="DefaultParagraphFont"/>
    <w:link w:val="Style6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line="20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5">
    <w:name w:val="Nadpis #1"/>
    <w:basedOn w:val="Normal"/>
    <w:link w:val="CharStyle26"/>
    <w:pPr>
      <w:widowControl w:val="0"/>
      <w:shd w:val="clear" w:color="auto" w:fill="auto"/>
      <w:spacing w:after="2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paragraph" w:customStyle="1" w:styleId="Style27">
    <w:name w:val="Záhlaví nebo zápatí (2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auto"/>
      <w:spacing w:after="340"/>
      <w:ind w:left="2100" w:hanging="134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2">
    <w:name w:val="Titulek tabulky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6">
    <w:name w:val="Jiné"/>
    <w:basedOn w:val="Normal"/>
    <w:link w:val="CharStyle37"/>
    <w:pPr>
      <w:widowControl w:val="0"/>
      <w:shd w:val="clear" w:color="auto" w:fill="auto"/>
      <w:spacing w:after="1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2">
    <w:name w:val="Základní text (2)"/>
    <w:basedOn w:val="Normal"/>
    <w:link w:val="CharStyle63"/>
    <w:pPr>
      <w:widowControl w:val="0"/>
      <w:shd w:val="clear" w:color="auto" w:fill="auto"/>
      <w:spacing w:after="30" w:line="209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Smlouva</dc:title>
  <dc:subject/>
  <dc:creator>KRATOCHVÍLOVÁ Olga, Mgr.</dc:creator>
  <cp:keywords/>
</cp:coreProperties>
</file>