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8E4E" w14:textId="77777777" w:rsidR="00A9285C" w:rsidRPr="006D0A7C" w:rsidRDefault="00AA018F" w:rsidP="006D0A7C">
      <w:pPr>
        <w:pStyle w:val="Nzev"/>
        <w:spacing w:before="240"/>
        <w:rPr>
          <w:rFonts w:ascii="Times New Roman" w:hAnsi="Times New Roman"/>
        </w:rPr>
      </w:pPr>
      <w:r w:rsidRPr="006D0A7C">
        <w:rPr>
          <w:rFonts w:ascii="Times New Roman" w:hAnsi="Times New Roman"/>
        </w:rPr>
        <w:t>Dodatek č.</w:t>
      </w:r>
      <w:r w:rsidR="009926BD">
        <w:rPr>
          <w:rFonts w:ascii="Times New Roman" w:hAnsi="Times New Roman"/>
        </w:rPr>
        <w:t>2</w:t>
      </w:r>
      <w:r w:rsidRPr="006D0A7C">
        <w:rPr>
          <w:rFonts w:ascii="Times New Roman" w:hAnsi="Times New Roman"/>
        </w:rPr>
        <w:t xml:space="preserve"> </w:t>
      </w:r>
    </w:p>
    <w:p w14:paraId="6AA44783" w14:textId="77777777" w:rsidR="007C5B19" w:rsidRPr="007C5B19" w:rsidRDefault="007C5B19" w:rsidP="007C5B19">
      <w:pPr>
        <w:pStyle w:val="Nzev"/>
        <w:spacing w:before="240"/>
        <w:rPr>
          <w:rFonts w:ascii="Times New Roman" w:hAnsi="Times New Roman"/>
        </w:rPr>
      </w:pPr>
      <w:r w:rsidRPr="007C5B19">
        <w:rPr>
          <w:rFonts w:ascii="Times New Roman" w:hAnsi="Times New Roman"/>
        </w:rPr>
        <w:t>KUPNÍ SMLOUV</w:t>
      </w:r>
      <w:r>
        <w:rPr>
          <w:rFonts w:ascii="Times New Roman" w:hAnsi="Times New Roman"/>
        </w:rPr>
        <w:t>Y</w:t>
      </w:r>
    </w:p>
    <w:p w14:paraId="3B5857AA" w14:textId="77777777" w:rsidR="0067081B" w:rsidRPr="006D0A7C" w:rsidRDefault="007C5B19" w:rsidP="00CE26B6">
      <w:pPr>
        <w:pStyle w:val="Nzev"/>
        <w:spacing w:before="0"/>
        <w:rPr>
          <w:rFonts w:ascii="Times New Roman" w:hAnsi="Times New Roman"/>
        </w:rPr>
      </w:pPr>
      <w:r w:rsidRPr="007C5B19">
        <w:rPr>
          <w:rFonts w:ascii="Times New Roman" w:hAnsi="Times New Roman"/>
        </w:rPr>
        <w:t>„Dodávka inspekčního plavidla ŘVC inovativní technologie s alternativním pohonem“</w:t>
      </w:r>
    </w:p>
    <w:p w14:paraId="4727DDE3" w14:textId="77777777" w:rsidR="00A9285C" w:rsidRPr="006D0A7C" w:rsidRDefault="00A9285C" w:rsidP="00A9285C">
      <w:pPr>
        <w:tabs>
          <w:tab w:val="left" w:pos="0"/>
          <w:tab w:val="left" w:pos="2694"/>
          <w:tab w:val="left" w:pos="5954"/>
        </w:tabs>
        <w:ind w:right="-57"/>
        <w:jc w:val="center"/>
        <w:rPr>
          <w:rFonts w:ascii="Times New Roman" w:hAnsi="Times New Roman"/>
          <w:sz w:val="20"/>
        </w:rPr>
      </w:pPr>
      <w:r w:rsidRPr="006D0A7C">
        <w:rPr>
          <w:rFonts w:ascii="Times New Roman" w:hAnsi="Times New Roman"/>
          <w:b/>
          <w:sz w:val="20"/>
        </w:rPr>
        <w:t>č. S/ŘVC/0</w:t>
      </w:r>
      <w:r w:rsidR="007C5B19">
        <w:rPr>
          <w:rFonts w:ascii="Times New Roman" w:hAnsi="Times New Roman"/>
          <w:b/>
          <w:sz w:val="20"/>
        </w:rPr>
        <w:t>61</w:t>
      </w:r>
      <w:r w:rsidRPr="006D0A7C">
        <w:rPr>
          <w:rFonts w:ascii="Times New Roman" w:hAnsi="Times New Roman"/>
          <w:b/>
          <w:sz w:val="20"/>
        </w:rPr>
        <w:t>/OSE/</w:t>
      </w:r>
      <w:r w:rsidR="007C5B19">
        <w:rPr>
          <w:rFonts w:ascii="Times New Roman" w:hAnsi="Times New Roman"/>
          <w:b/>
          <w:sz w:val="20"/>
        </w:rPr>
        <w:t>KUP</w:t>
      </w:r>
      <w:r w:rsidRPr="006D0A7C">
        <w:rPr>
          <w:rFonts w:ascii="Times New Roman" w:hAnsi="Times New Roman"/>
          <w:b/>
          <w:sz w:val="20"/>
        </w:rPr>
        <w:t xml:space="preserve">/2021 </w:t>
      </w:r>
      <w:r w:rsidRPr="006D0A7C">
        <w:rPr>
          <w:rFonts w:ascii="Times New Roman" w:hAnsi="Times New Roman"/>
          <w:sz w:val="20"/>
        </w:rPr>
        <w:t>(</w:t>
      </w:r>
      <w:proofErr w:type="spellStart"/>
      <w:r w:rsidRPr="006D0A7C">
        <w:rPr>
          <w:rFonts w:ascii="Times New Roman" w:hAnsi="Times New Roman"/>
          <w:sz w:val="20"/>
        </w:rPr>
        <w:t>evid</w:t>
      </w:r>
      <w:proofErr w:type="spellEnd"/>
      <w:r w:rsidRPr="006D0A7C">
        <w:rPr>
          <w:rFonts w:ascii="Times New Roman" w:hAnsi="Times New Roman"/>
          <w:sz w:val="20"/>
        </w:rPr>
        <w:t xml:space="preserve">. číslo </w:t>
      </w:r>
      <w:r w:rsidRPr="006D0A7C">
        <w:rPr>
          <w:rFonts w:ascii="Times New Roman" w:hAnsi="Times New Roman"/>
          <w:smallCaps/>
          <w:sz w:val="20"/>
        </w:rPr>
        <w:t xml:space="preserve">smlouvy </w:t>
      </w:r>
      <w:r w:rsidR="007C5B19">
        <w:rPr>
          <w:rFonts w:ascii="Times New Roman" w:hAnsi="Times New Roman"/>
          <w:smallCaps/>
          <w:sz w:val="20"/>
        </w:rPr>
        <w:t>kupujícího</w:t>
      </w:r>
      <w:r w:rsidRPr="006D0A7C">
        <w:rPr>
          <w:rFonts w:ascii="Times New Roman" w:hAnsi="Times New Roman"/>
          <w:sz w:val="20"/>
        </w:rPr>
        <w:t>)</w:t>
      </w:r>
    </w:p>
    <w:p w14:paraId="5F783218" w14:textId="77777777" w:rsidR="00A9285C" w:rsidRPr="006D0A7C" w:rsidRDefault="00A9285C" w:rsidP="00A9285C">
      <w:pPr>
        <w:tabs>
          <w:tab w:val="left" w:pos="0"/>
          <w:tab w:val="left" w:pos="2694"/>
          <w:tab w:val="left" w:pos="2977"/>
          <w:tab w:val="right" w:leader="dot" w:pos="5670"/>
          <w:tab w:val="left" w:pos="5954"/>
        </w:tabs>
        <w:ind w:right="-57"/>
        <w:jc w:val="center"/>
        <w:rPr>
          <w:rFonts w:ascii="Times New Roman" w:hAnsi="Times New Roman"/>
          <w:sz w:val="20"/>
        </w:rPr>
      </w:pPr>
      <w:r w:rsidRPr="006D0A7C">
        <w:rPr>
          <w:rFonts w:ascii="Times New Roman" w:hAnsi="Times New Roman"/>
          <w:b/>
          <w:sz w:val="20"/>
        </w:rPr>
        <w:t xml:space="preserve">  </w:t>
      </w:r>
      <w:r w:rsidR="00F75DAE">
        <w:rPr>
          <w:rFonts w:ascii="Times New Roman" w:hAnsi="Times New Roman"/>
          <w:b/>
          <w:sz w:val="20"/>
        </w:rPr>
        <w:t xml:space="preserve">     </w:t>
      </w:r>
      <w:r w:rsidRPr="006D0A7C">
        <w:rPr>
          <w:rFonts w:ascii="Times New Roman" w:hAnsi="Times New Roman"/>
          <w:b/>
          <w:sz w:val="20"/>
        </w:rPr>
        <w:t xml:space="preserve">č. </w:t>
      </w:r>
      <w:r w:rsidR="007C5B19">
        <w:rPr>
          <w:rFonts w:ascii="Times New Roman" w:hAnsi="Times New Roman"/>
          <w:b/>
          <w:sz w:val="20"/>
        </w:rPr>
        <w:t xml:space="preserve">                  </w:t>
      </w:r>
      <w:r w:rsidR="00F75DAE">
        <w:rPr>
          <w:rFonts w:ascii="Times New Roman" w:hAnsi="Times New Roman"/>
          <w:b/>
          <w:sz w:val="20"/>
        </w:rPr>
        <w:t xml:space="preserve"> </w:t>
      </w:r>
      <w:r w:rsidR="006D0A7C">
        <w:rPr>
          <w:rFonts w:ascii="Times New Roman" w:hAnsi="Times New Roman"/>
          <w:b/>
          <w:sz w:val="20"/>
        </w:rPr>
        <w:t xml:space="preserve">  </w:t>
      </w:r>
      <w:r w:rsidRPr="006D0A7C">
        <w:rPr>
          <w:rFonts w:ascii="Times New Roman" w:hAnsi="Times New Roman"/>
          <w:b/>
          <w:sz w:val="20"/>
        </w:rPr>
        <w:t xml:space="preserve">                           </w:t>
      </w:r>
      <w:r w:rsidRPr="006D0A7C">
        <w:rPr>
          <w:rFonts w:ascii="Times New Roman" w:hAnsi="Times New Roman"/>
          <w:sz w:val="20"/>
        </w:rPr>
        <w:t>(</w:t>
      </w:r>
      <w:proofErr w:type="spellStart"/>
      <w:r w:rsidRPr="006D0A7C">
        <w:rPr>
          <w:rFonts w:ascii="Times New Roman" w:hAnsi="Times New Roman"/>
          <w:sz w:val="20"/>
        </w:rPr>
        <w:t>evid</w:t>
      </w:r>
      <w:proofErr w:type="spellEnd"/>
      <w:r w:rsidRPr="006D0A7C">
        <w:rPr>
          <w:rFonts w:ascii="Times New Roman" w:hAnsi="Times New Roman"/>
          <w:sz w:val="20"/>
        </w:rPr>
        <w:t xml:space="preserve">. číslo </w:t>
      </w:r>
      <w:r w:rsidRPr="006D0A7C">
        <w:rPr>
          <w:rFonts w:ascii="Times New Roman" w:hAnsi="Times New Roman"/>
          <w:smallCaps/>
          <w:sz w:val="20"/>
        </w:rPr>
        <w:t xml:space="preserve">smlouvy </w:t>
      </w:r>
      <w:r w:rsidR="007C5B19">
        <w:rPr>
          <w:rFonts w:ascii="Times New Roman" w:hAnsi="Times New Roman"/>
          <w:smallCaps/>
          <w:sz w:val="20"/>
        </w:rPr>
        <w:t>prodávajícího</w:t>
      </w:r>
      <w:r w:rsidRPr="006D0A7C">
        <w:rPr>
          <w:rFonts w:ascii="Times New Roman" w:hAnsi="Times New Roman"/>
          <w:sz w:val="20"/>
        </w:rPr>
        <w:t>)</w:t>
      </w:r>
    </w:p>
    <w:p w14:paraId="21269A63" w14:textId="77777777" w:rsidR="00DF7862" w:rsidRPr="006D0A7C" w:rsidRDefault="00DF7862" w:rsidP="002F2944">
      <w:pPr>
        <w:tabs>
          <w:tab w:val="left" w:pos="-709"/>
          <w:tab w:val="left" w:pos="-284"/>
          <w:tab w:val="num" w:pos="-180"/>
        </w:tabs>
        <w:spacing w:before="240" w:after="240"/>
        <w:ind w:left="902" w:right="-142" w:hanging="902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>uzavřené mezi:</w:t>
      </w:r>
    </w:p>
    <w:p w14:paraId="60FD8F5F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b/>
          <w:sz w:val="24"/>
          <w:szCs w:val="24"/>
        </w:rPr>
        <w:t>Česká republika – Ředitelství vodních cest ČR</w:t>
      </w:r>
    </w:p>
    <w:p w14:paraId="7A720D52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>organizační složka státu zřízená Ministerstvem dopravy České republiky, a to Rozhodnutím ministra dopravy a spojů České republiky, č. 849/98-KM ze dne 12. 3. 1998 (Zřizovací listina č. 849/98-KM ze dne 12. 03. 1998, ve znění Dodatků č. 1, 2, 3, 4, 5, 6, 7, 8, 9, 10, 11 a 12)</w:t>
      </w:r>
    </w:p>
    <w:p w14:paraId="0475EC84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Pr="006D0A7C">
        <w:rPr>
          <w:rFonts w:ascii="Times New Roman" w:hAnsi="Times New Roman"/>
          <w:sz w:val="24"/>
          <w:szCs w:val="24"/>
        </w:rPr>
        <w:t xml:space="preserve">sídlem: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nábř. L. Svobody 1222/12, 110 15 Praha 1</w:t>
      </w:r>
    </w:p>
    <w:p w14:paraId="3AFF42D2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Zastoupená: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Ing. Lubomírem Fojtů, ředitelem</w:t>
      </w:r>
    </w:p>
    <w:p w14:paraId="6DB334F9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IČ: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           679 81 801</w:t>
      </w:r>
    </w:p>
    <w:p w14:paraId="0F0427A0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DIČ: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        CZ67981801</w:t>
      </w:r>
    </w:p>
    <w:p w14:paraId="2D70DFA5" w14:textId="79764404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Bankovní </w:t>
      </w:r>
      <w:proofErr w:type="gramStart"/>
      <w:r w:rsidRPr="006D0A7C">
        <w:rPr>
          <w:rFonts w:ascii="Times New Roman" w:hAnsi="Times New Roman"/>
          <w:sz w:val="24"/>
          <w:szCs w:val="24"/>
        </w:rPr>
        <w:t xml:space="preserve">spojení:   </w:t>
      </w:r>
      <w:proofErr w:type="gramEnd"/>
      <w:r w:rsidR="006E27B1">
        <w:rPr>
          <w:rFonts w:ascii="Times New Roman" w:hAnsi="Times New Roman"/>
          <w:sz w:val="24"/>
          <w:szCs w:val="24"/>
        </w:rPr>
        <w:t>XXXXXXXXXXXX</w:t>
      </w:r>
    </w:p>
    <w:p w14:paraId="5E409176" w14:textId="5EC1ED6E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Číslo </w:t>
      </w:r>
      <w:proofErr w:type="gramStart"/>
      <w:r w:rsidRPr="006D0A7C">
        <w:rPr>
          <w:rFonts w:ascii="Times New Roman" w:hAnsi="Times New Roman"/>
          <w:sz w:val="24"/>
          <w:szCs w:val="24"/>
        </w:rPr>
        <w:t xml:space="preserve">účtu: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</w:t>
      </w:r>
      <w:r w:rsidR="006E27B1">
        <w:rPr>
          <w:rFonts w:ascii="Times New Roman" w:hAnsi="Times New Roman"/>
          <w:sz w:val="24"/>
          <w:szCs w:val="24"/>
        </w:rPr>
        <w:t>XXXXXXXXXXXX</w:t>
      </w:r>
    </w:p>
    <w:p w14:paraId="6E193182" w14:textId="77777777" w:rsidR="006D0A7C" w:rsidRPr="006D0A7C" w:rsidRDefault="006D0A7C" w:rsidP="006D0A7C">
      <w:pPr>
        <w:rPr>
          <w:rFonts w:ascii="Times New Roman" w:hAnsi="Times New Roman"/>
          <w:b/>
          <w:sz w:val="24"/>
          <w:szCs w:val="24"/>
        </w:rPr>
      </w:pPr>
      <w:r w:rsidRPr="006D0A7C">
        <w:rPr>
          <w:rFonts w:ascii="Times New Roman" w:hAnsi="Times New Roman"/>
          <w:b/>
          <w:sz w:val="24"/>
          <w:szCs w:val="24"/>
        </w:rPr>
        <w:t xml:space="preserve"> („</w:t>
      </w:r>
      <w:r w:rsidR="007C5B19">
        <w:rPr>
          <w:rFonts w:ascii="Times New Roman" w:hAnsi="Times New Roman"/>
          <w:b/>
          <w:sz w:val="24"/>
          <w:szCs w:val="24"/>
        </w:rPr>
        <w:t>Kupující</w:t>
      </w:r>
      <w:r w:rsidRPr="006D0A7C">
        <w:rPr>
          <w:rFonts w:ascii="Times New Roman" w:hAnsi="Times New Roman"/>
          <w:b/>
          <w:sz w:val="24"/>
          <w:szCs w:val="24"/>
        </w:rPr>
        <w:t xml:space="preserve">“) </w:t>
      </w:r>
    </w:p>
    <w:p w14:paraId="578D39AB" w14:textId="77777777" w:rsidR="006D0A7C" w:rsidRPr="006D0A7C" w:rsidRDefault="006D0A7C" w:rsidP="006D0A7C">
      <w:pPr>
        <w:rPr>
          <w:rFonts w:ascii="Times New Roman" w:hAnsi="Times New Roman"/>
          <w:b/>
          <w:sz w:val="24"/>
          <w:szCs w:val="24"/>
        </w:rPr>
      </w:pPr>
      <w:r w:rsidRPr="006D0A7C">
        <w:rPr>
          <w:rFonts w:ascii="Times New Roman" w:hAnsi="Times New Roman"/>
          <w:b/>
          <w:sz w:val="24"/>
          <w:szCs w:val="24"/>
        </w:rPr>
        <w:t xml:space="preserve">a </w:t>
      </w:r>
    </w:p>
    <w:p w14:paraId="5FEA2F42" w14:textId="77777777" w:rsidR="006D0A7C" w:rsidRPr="006D0A7C" w:rsidRDefault="007C5B19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7C5B19">
        <w:rPr>
          <w:rFonts w:ascii="Times New Roman" w:hAnsi="Times New Roman"/>
          <w:b/>
          <w:sz w:val="24"/>
          <w:szCs w:val="24"/>
        </w:rPr>
        <w:t xml:space="preserve">Korporace: AQUA </w:t>
      </w:r>
      <w:proofErr w:type="gramStart"/>
      <w:r w:rsidRPr="007C5B19">
        <w:rPr>
          <w:rFonts w:ascii="Times New Roman" w:hAnsi="Times New Roman"/>
          <w:b/>
          <w:sz w:val="24"/>
          <w:szCs w:val="24"/>
        </w:rPr>
        <w:t>S .</w:t>
      </w:r>
      <w:proofErr w:type="gramEnd"/>
      <w:r w:rsidRPr="007C5B19">
        <w:rPr>
          <w:rFonts w:ascii="Times New Roman" w:hAnsi="Times New Roman"/>
          <w:b/>
          <w:sz w:val="24"/>
          <w:szCs w:val="24"/>
        </w:rPr>
        <w:t>P.P., s.r.o.</w:t>
      </w:r>
    </w:p>
    <w:p w14:paraId="3623E486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Zapsána v obchodním rejstříku vedeném </w:t>
      </w:r>
      <w:proofErr w:type="gramStart"/>
      <w:r w:rsidRPr="006D0A7C">
        <w:rPr>
          <w:rFonts w:ascii="Times New Roman" w:hAnsi="Times New Roman"/>
          <w:sz w:val="24"/>
          <w:szCs w:val="24"/>
        </w:rPr>
        <w:t xml:space="preserve">u  </w:t>
      </w:r>
      <w:r w:rsidR="007C5B19" w:rsidRPr="007C5B19">
        <w:rPr>
          <w:rFonts w:ascii="Times New Roman" w:hAnsi="Times New Roman"/>
          <w:sz w:val="24"/>
          <w:szCs w:val="24"/>
        </w:rPr>
        <w:t>Městského</w:t>
      </w:r>
      <w:proofErr w:type="gramEnd"/>
      <w:r w:rsidR="007C5B19" w:rsidRPr="007C5B19">
        <w:rPr>
          <w:rFonts w:ascii="Times New Roman" w:hAnsi="Times New Roman"/>
          <w:sz w:val="24"/>
          <w:szCs w:val="24"/>
        </w:rPr>
        <w:t xml:space="preserve"> soudu v Praze, oddíl C, vložka 212827</w:t>
      </w:r>
    </w:p>
    <w:p w14:paraId="1A02B196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se </w:t>
      </w:r>
      <w:proofErr w:type="gramStart"/>
      <w:r w:rsidRPr="006D0A7C">
        <w:rPr>
          <w:rFonts w:ascii="Times New Roman" w:hAnsi="Times New Roman"/>
          <w:sz w:val="24"/>
          <w:szCs w:val="24"/>
        </w:rPr>
        <w:t xml:space="preserve">sídlem: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7C5B19" w:rsidRPr="007C5B19">
        <w:rPr>
          <w:rFonts w:ascii="Times New Roman" w:hAnsi="Times New Roman"/>
          <w:sz w:val="24"/>
          <w:szCs w:val="24"/>
        </w:rPr>
        <w:t>Želetická</w:t>
      </w:r>
      <w:proofErr w:type="spellEnd"/>
      <w:r w:rsidR="007C5B19" w:rsidRPr="007C5B19">
        <w:rPr>
          <w:rFonts w:ascii="Times New Roman" w:hAnsi="Times New Roman"/>
          <w:sz w:val="24"/>
          <w:szCs w:val="24"/>
        </w:rPr>
        <w:t xml:space="preserve"> 2170/27, Litoměřice 41201, Česká republika</w:t>
      </w:r>
    </w:p>
    <w:p w14:paraId="74639737" w14:textId="186316B3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Zastoupená: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</w:t>
      </w:r>
      <w:r w:rsidR="006E27B1">
        <w:rPr>
          <w:rFonts w:ascii="Times New Roman" w:hAnsi="Times New Roman"/>
          <w:sz w:val="24"/>
          <w:szCs w:val="24"/>
        </w:rPr>
        <w:t>XXXXXXXXXXXX</w:t>
      </w:r>
    </w:p>
    <w:p w14:paraId="2BACFD03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IČ: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            </w:t>
      </w:r>
      <w:r w:rsidR="007C5B19" w:rsidRPr="007C5B19">
        <w:rPr>
          <w:rFonts w:ascii="Times New Roman" w:hAnsi="Times New Roman"/>
          <w:sz w:val="24"/>
          <w:szCs w:val="24"/>
        </w:rPr>
        <w:t>25497421</w:t>
      </w:r>
    </w:p>
    <w:p w14:paraId="26732273" w14:textId="77777777" w:rsidR="006D0A7C" w:rsidRPr="006D0A7C" w:rsidRDefault="006D0A7C" w:rsidP="006D0A7C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A7C">
        <w:rPr>
          <w:rFonts w:ascii="Times New Roman" w:hAnsi="Times New Roman"/>
          <w:sz w:val="24"/>
          <w:szCs w:val="24"/>
        </w:rPr>
        <w:t xml:space="preserve">DIČ:   </w:t>
      </w:r>
      <w:proofErr w:type="gramEnd"/>
      <w:r w:rsidRPr="006D0A7C">
        <w:rPr>
          <w:rFonts w:ascii="Times New Roman" w:hAnsi="Times New Roman"/>
          <w:sz w:val="24"/>
          <w:szCs w:val="24"/>
        </w:rPr>
        <w:t xml:space="preserve">                      CZ</w:t>
      </w:r>
      <w:r w:rsidR="007C5B19" w:rsidRPr="007C5B19">
        <w:rPr>
          <w:rFonts w:ascii="Times New Roman" w:hAnsi="Times New Roman"/>
          <w:sz w:val="24"/>
          <w:szCs w:val="24"/>
        </w:rPr>
        <w:t>25497421</w:t>
      </w:r>
    </w:p>
    <w:p w14:paraId="29FD5EC2" w14:textId="77777777" w:rsidR="007C5B19" w:rsidRPr="007C5B19" w:rsidRDefault="007C5B19" w:rsidP="007C5B1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C5B19">
        <w:rPr>
          <w:rFonts w:ascii="Times New Roman" w:hAnsi="Times New Roman"/>
          <w:sz w:val="24"/>
          <w:szCs w:val="24"/>
        </w:rPr>
        <w:t xml:space="preserve">a Podnikatel: </w:t>
      </w:r>
      <w:r w:rsidRPr="007C5B19">
        <w:rPr>
          <w:rFonts w:ascii="Times New Roman" w:hAnsi="Times New Roman"/>
          <w:b/>
          <w:sz w:val="24"/>
          <w:szCs w:val="24"/>
        </w:rPr>
        <w:t>Ing. Miroslav CINK</w:t>
      </w:r>
    </w:p>
    <w:p w14:paraId="78290F2A" w14:textId="77777777" w:rsidR="007C5B19" w:rsidRPr="007C5B19" w:rsidRDefault="007C5B19" w:rsidP="007C5B1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C5B19">
        <w:rPr>
          <w:rFonts w:ascii="Times New Roman" w:hAnsi="Times New Roman"/>
          <w:sz w:val="24"/>
          <w:szCs w:val="24"/>
        </w:rPr>
        <w:t>e sídlem/místem podnikání:</w:t>
      </w:r>
      <w:r>
        <w:rPr>
          <w:rFonts w:ascii="Times New Roman" w:hAnsi="Times New Roman"/>
          <w:sz w:val="24"/>
          <w:szCs w:val="24"/>
        </w:rPr>
        <w:t xml:space="preserve"> P</w:t>
      </w:r>
      <w:r w:rsidRPr="007C5B19">
        <w:rPr>
          <w:rFonts w:ascii="Times New Roman" w:hAnsi="Times New Roman"/>
          <w:sz w:val="24"/>
          <w:szCs w:val="24"/>
        </w:rPr>
        <w:t>íšťany 88, 41101, Česká republika</w:t>
      </w:r>
    </w:p>
    <w:p w14:paraId="5A37C487" w14:textId="77777777" w:rsidR="007C5B19" w:rsidRPr="007C5B19" w:rsidRDefault="007C5B19" w:rsidP="007C5B1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C5B19">
        <w:rPr>
          <w:rFonts w:ascii="Times New Roman" w:hAnsi="Times New Roman"/>
          <w:sz w:val="24"/>
          <w:szCs w:val="24"/>
        </w:rPr>
        <w:t>Úřad příslušný podle §71 odst.2 živnostenského zákona: Městský úřad Litoměřice</w:t>
      </w:r>
    </w:p>
    <w:p w14:paraId="287B5C11" w14:textId="77777777" w:rsidR="006D0A7C" w:rsidRPr="006D0A7C" w:rsidRDefault="007C5B19" w:rsidP="007C5B19">
      <w:pPr>
        <w:tabs>
          <w:tab w:val="left" w:pos="284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7C5B19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5B19">
        <w:rPr>
          <w:rFonts w:ascii="Times New Roman" w:hAnsi="Times New Roman"/>
          <w:sz w:val="24"/>
          <w:szCs w:val="24"/>
        </w:rPr>
        <w:t>11363754</w:t>
      </w:r>
    </w:p>
    <w:p w14:paraId="1F87B6AB" w14:textId="77777777" w:rsidR="007C5B19" w:rsidRDefault="007C5B19" w:rsidP="006D0A7C">
      <w:pPr>
        <w:rPr>
          <w:rFonts w:ascii="Times New Roman" w:hAnsi="Times New Roman"/>
          <w:b/>
          <w:sz w:val="24"/>
          <w:szCs w:val="24"/>
        </w:rPr>
      </w:pPr>
    </w:p>
    <w:p w14:paraId="34778454" w14:textId="77777777" w:rsidR="007C5B19" w:rsidRDefault="007C5B19" w:rsidP="006D0A7C">
      <w:pPr>
        <w:rPr>
          <w:rFonts w:ascii="Times New Roman" w:hAnsi="Times New Roman"/>
          <w:b/>
          <w:sz w:val="24"/>
          <w:szCs w:val="24"/>
        </w:rPr>
      </w:pPr>
      <w:r w:rsidRPr="007C5B19">
        <w:rPr>
          <w:rFonts w:ascii="Times New Roman" w:hAnsi="Times New Roman"/>
          <w:b/>
          <w:sz w:val="24"/>
          <w:szCs w:val="24"/>
        </w:rPr>
        <w:t xml:space="preserve">„SUN RIVER II </w:t>
      </w:r>
      <w:proofErr w:type="gramStart"/>
      <w:r w:rsidRPr="007C5B19">
        <w:rPr>
          <w:rFonts w:ascii="Times New Roman" w:hAnsi="Times New Roman"/>
          <w:b/>
          <w:sz w:val="24"/>
          <w:szCs w:val="24"/>
        </w:rPr>
        <w:t>AQUA - CINK</w:t>
      </w:r>
      <w:proofErr w:type="gramEnd"/>
      <w:r w:rsidRPr="007C5B19">
        <w:rPr>
          <w:rFonts w:ascii="Times New Roman" w:hAnsi="Times New Roman"/>
          <w:b/>
          <w:sz w:val="24"/>
          <w:szCs w:val="24"/>
        </w:rPr>
        <w:t>“</w:t>
      </w:r>
    </w:p>
    <w:p w14:paraId="681C6BEC" w14:textId="77777777" w:rsidR="007C5B19" w:rsidRDefault="006D0A7C" w:rsidP="006D0A7C">
      <w:pPr>
        <w:rPr>
          <w:rFonts w:ascii="Times New Roman" w:hAnsi="Times New Roman"/>
          <w:b/>
          <w:sz w:val="24"/>
          <w:szCs w:val="24"/>
        </w:rPr>
      </w:pPr>
      <w:r w:rsidRPr="006D0A7C">
        <w:rPr>
          <w:rFonts w:ascii="Times New Roman" w:hAnsi="Times New Roman"/>
          <w:b/>
          <w:sz w:val="24"/>
          <w:szCs w:val="24"/>
        </w:rPr>
        <w:t xml:space="preserve"> („</w:t>
      </w:r>
      <w:r w:rsidR="007C5B19">
        <w:rPr>
          <w:rFonts w:ascii="Times New Roman" w:hAnsi="Times New Roman"/>
          <w:b/>
          <w:sz w:val="24"/>
          <w:szCs w:val="24"/>
        </w:rPr>
        <w:t>Prodávající</w:t>
      </w:r>
      <w:r w:rsidRPr="006D0A7C">
        <w:rPr>
          <w:rFonts w:ascii="Times New Roman" w:hAnsi="Times New Roman"/>
          <w:b/>
          <w:sz w:val="24"/>
          <w:szCs w:val="24"/>
        </w:rPr>
        <w:t xml:space="preserve">“)                                                                                                                 </w:t>
      </w:r>
    </w:p>
    <w:p w14:paraId="25651BAC" w14:textId="77777777" w:rsidR="006D0A7C" w:rsidRPr="006D0A7C" w:rsidRDefault="006D0A7C" w:rsidP="006D0A7C">
      <w:pPr>
        <w:rPr>
          <w:rFonts w:ascii="Times New Roman" w:hAnsi="Times New Roman"/>
          <w:b/>
          <w:sz w:val="24"/>
          <w:szCs w:val="24"/>
        </w:rPr>
      </w:pPr>
      <w:r w:rsidRPr="007C5B19">
        <w:rPr>
          <w:rFonts w:ascii="Times New Roman" w:hAnsi="Times New Roman"/>
          <w:bCs/>
          <w:sz w:val="24"/>
          <w:szCs w:val="24"/>
        </w:rPr>
        <w:t>(</w:t>
      </w:r>
      <w:r w:rsidR="007C5B19" w:rsidRPr="007C5B19">
        <w:rPr>
          <w:rFonts w:ascii="Times New Roman" w:hAnsi="Times New Roman"/>
          <w:bCs/>
          <w:sz w:val="24"/>
          <w:szCs w:val="24"/>
        </w:rPr>
        <w:t>Kupující</w:t>
      </w:r>
      <w:r w:rsidRPr="007C5B19">
        <w:rPr>
          <w:rFonts w:ascii="Times New Roman" w:hAnsi="Times New Roman"/>
          <w:bCs/>
          <w:sz w:val="24"/>
          <w:szCs w:val="24"/>
        </w:rPr>
        <w:t xml:space="preserve"> </w:t>
      </w:r>
      <w:r w:rsidRPr="006D0A7C">
        <w:rPr>
          <w:rFonts w:ascii="Times New Roman" w:hAnsi="Times New Roman"/>
          <w:sz w:val="24"/>
          <w:szCs w:val="24"/>
        </w:rPr>
        <w:t xml:space="preserve">a </w:t>
      </w:r>
      <w:r w:rsidR="007C5B19">
        <w:rPr>
          <w:rFonts w:ascii="Times New Roman" w:hAnsi="Times New Roman"/>
          <w:sz w:val="24"/>
          <w:szCs w:val="24"/>
        </w:rPr>
        <w:t>Prodávající</w:t>
      </w:r>
      <w:r w:rsidRPr="006D0A7C">
        <w:rPr>
          <w:rFonts w:ascii="Times New Roman" w:hAnsi="Times New Roman"/>
          <w:sz w:val="24"/>
          <w:szCs w:val="24"/>
        </w:rPr>
        <w:t xml:space="preserve"> dále také jako</w:t>
      </w:r>
      <w:r w:rsidRPr="006D0A7C">
        <w:rPr>
          <w:rFonts w:ascii="Times New Roman" w:hAnsi="Times New Roman"/>
          <w:b/>
          <w:sz w:val="24"/>
          <w:szCs w:val="24"/>
        </w:rPr>
        <w:t xml:space="preserve"> „smluvní strany“)</w:t>
      </w:r>
    </w:p>
    <w:p w14:paraId="32E34E48" w14:textId="77777777" w:rsidR="00436052" w:rsidRPr="006D0A7C" w:rsidRDefault="00436052" w:rsidP="00436052">
      <w:pPr>
        <w:tabs>
          <w:tab w:val="left" w:pos="-1080"/>
        </w:tabs>
        <w:ind w:left="1622" w:right="-262"/>
        <w:jc w:val="both"/>
        <w:rPr>
          <w:rFonts w:ascii="Times New Roman" w:hAnsi="Times New Roman"/>
          <w:sz w:val="24"/>
          <w:szCs w:val="24"/>
        </w:rPr>
      </w:pPr>
    </w:p>
    <w:p w14:paraId="553EEDDB" w14:textId="77777777" w:rsidR="00BF546C" w:rsidRPr="006D0A7C" w:rsidRDefault="00453D98" w:rsidP="00CE26B6">
      <w:pPr>
        <w:ind w:right="-261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Na základě </w:t>
      </w:r>
      <w:r w:rsidR="009926BD">
        <w:rPr>
          <w:rFonts w:ascii="Times New Roman" w:hAnsi="Times New Roman"/>
          <w:sz w:val="24"/>
          <w:szCs w:val="24"/>
        </w:rPr>
        <w:t xml:space="preserve">žádosti </w:t>
      </w:r>
      <w:r w:rsidR="009926BD" w:rsidRPr="009926BD">
        <w:rPr>
          <w:rFonts w:ascii="Times New Roman" w:hAnsi="Times New Roman"/>
          <w:smallCaps/>
          <w:sz w:val="24"/>
          <w:szCs w:val="24"/>
        </w:rPr>
        <w:t>prodávajícího</w:t>
      </w:r>
      <w:r w:rsidR="009926BD">
        <w:rPr>
          <w:rFonts w:ascii="Times New Roman" w:hAnsi="Times New Roman"/>
          <w:sz w:val="24"/>
          <w:szCs w:val="24"/>
        </w:rPr>
        <w:t xml:space="preserve"> ze dne 9.3.2023 o jednostranné změně čísla účtu </w:t>
      </w:r>
      <w:r w:rsidR="009926BD" w:rsidRPr="009926BD">
        <w:rPr>
          <w:rFonts w:ascii="Times New Roman" w:hAnsi="Times New Roman"/>
          <w:smallCaps/>
          <w:sz w:val="24"/>
          <w:szCs w:val="24"/>
        </w:rPr>
        <w:t>prodávajícího</w:t>
      </w:r>
      <w:r w:rsidR="009926BD">
        <w:rPr>
          <w:rFonts w:ascii="Times New Roman" w:hAnsi="Times New Roman"/>
          <w:sz w:val="24"/>
          <w:szCs w:val="24"/>
        </w:rPr>
        <w:t xml:space="preserve"> a změnového řízení </w:t>
      </w:r>
      <w:r w:rsidR="00F4731D">
        <w:rPr>
          <w:rFonts w:ascii="Times New Roman" w:hAnsi="Times New Roman"/>
          <w:sz w:val="24"/>
          <w:szCs w:val="24"/>
        </w:rPr>
        <w:t xml:space="preserve">na dodatečné dodávky a dílčí změny provedení požadované </w:t>
      </w:r>
      <w:r w:rsidR="00F4731D" w:rsidRPr="003309E6">
        <w:rPr>
          <w:rFonts w:ascii="Times New Roman" w:hAnsi="Times New Roman"/>
          <w:smallCaps/>
          <w:sz w:val="24"/>
          <w:szCs w:val="24"/>
        </w:rPr>
        <w:t>kupujícím</w:t>
      </w:r>
      <w:r w:rsidR="00F4731D">
        <w:rPr>
          <w:rFonts w:ascii="Times New Roman" w:hAnsi="Times New Roman"/>
          <w:sz w:val="24"/>
          <w:szCs w:val="24"/>
        </w:rPr>
        <w:t xml:space="preserve"> </w:t>
      </w:r>
      <w:r w:rsidR="0047500C">
        <w:rPr>
          <w:rFonts w:ascii="Times New Roman" w:hAnsi="Times New Roman"/>
          <w:sz w:val="24"/>
          <w:szCs w:val="24"/>
        </w:rPr>
        <w:t>v </w:t>
      </w:r>
      <w:r w:rsidR="0047500C">
        <w:rPr>
          <w:rFonts w:ascii="Times New Roman" w:hAnsi="Times New Roman"/>
          <w:smallCaps/>
          <w:sz w:val="24"/>
          <w:szCs w:val="24"/>
        </w:rPr>
        <w:t>kupní s</w:t>
      </w:r>
      <w:r w:rsidR="006725BD" w:rsidRPr="006D0A7C">
        <w:rPr>
          <w:rFonts w:ascii="Times New Roman" w:hAnsi="Times New Roman"/>
          <w:smallCaps/>
          <w:sz w:val="24"/>
          <w:szCs w:val="24"/>
        </w:rPr>
        <w:t>mlouv</w:t>
      </w:r>
      <w:r w:rsidR="0047500C">
        <w:rPr>
          <w:rFonts w:ascii="Times New Roman" w:hAnsi="Times New Roman"/>
          <w:smallCaps/>
          <w:sz w:val="24"/>
          <w:szCs w:val="24"/>
        </w:rPr>
        <w:t>ě</w:t>
      </w:r>
      <w:r w:rsidR="006725BD" w:rsidRPr="006D0A7C">
        <w:rPr>
          <w:rFonts w:ascii="Times New Roman" w:hAnsi="Times New Roman"/>
          <w:sz w:val="24"/>
          <w:szCs w:val="24"/>
        </w:rPr>
        <w:t xml:space="preserve"> </w:t>
      </w:r>
      <w:r w:rsidR="00164841" w:rsidRPr="006D0A7C">
        <w:rPr>
          <w:rFonts w:ascii="Times New Roman" w:hAnsi="Times New Roman"/>
          <w:sz w:val="24"/>
          <w:szCs w:val="24"/>
        </w:rPr>
        <w:t>č. </w:t>
      </w:r>
      <w:r w:rsidR="00495DE5" w:rsidRPr="006D0A7C">
        <w:rPr>
          <w:rFonts w:ascii="Times New Roman" w:hAnsi="Times New Roman"/>
          <w:b/>
          <w:sz w:val="24"/>
          <w:szCs w:val="24"/>
        </w:rPr>
        <w:t>S/ŘVC/</w:t>
      </w:r>
      <w:r w:rsidR="007F17E5">
        <w:rPr>
          <w:rFonts w:ascii="Times New Roman" w:hAnsi="Times New Roman"/>
          <w:b/>
          <w:sz w:val="24"/>
          <w:szCs w:val="24"/>
        </w:rPr>
        <w:t>0</w:t>
      </w:r>
      <w:r w:rsidR="0047500C">
        <w:rPr>
          <w:rFonts w:ascii="Times New Roman" w:hAnsi="Times New Roman"/>
          <w:b/>
          <w:sz w:val="24"/>
          <w:szCs w:val="24"/>
        </w:rPr>
        <w:t>61</w:t>
      </w:r>
      <w:r w:rsidR="00495DE5" w:rsidRPr="006D0A7C">
        <w:rPr>
          <w:rFonts w:ascii="Times New Roman" w:hAnsi="Times New Roman"/>
          <w:b/>
          <w:sz w:val="24"/>
          <w:szCs w:val="24"/>
        </w:rPr>
        <w:t>/OSE/</w:t>
      </w:r>
      <w:r w:rsidR="0047500C">
        <w:rPr>
          <w:rFonts w:ascii="Times New Roman" w:hAnsi="Times New Roman"/>
          <w:b/>
          <w:sz w:val="24"/>
          <w:szCs w:val="24"/>
        </w:rPr>
        <w:t>KUP/</w:t>
      </w:r>
      <w:r w:rsidR="00495DE5" w:rsidRPr="006D0A7C">
        <w:rPr>
          <w:rFonts w:ascii="Times New Roman" w:hAnsi="Times New Roman"/>
          <w:b/>
          <w:sz w:val="24"/>
          <w:szCs w:val="24"/>
        </w:rPr>
        <w:t>20</w:t>
      </w:r>
      <w:r w:rsidR="007F17E5">
        <w:rPr>
          <w:rFonts w:ascii="Times New Roman" w:hAnsi="Times New Roman"/>
          <w:b/>
          <w:sz w:val="24"/>
          <w:szCs w:val="24"/>
        </w:rPr>
        <w:t>21</w:t>
      </w:r>
      <w:r w:rsidR="00495DE5" w:rsidRPr="006D0A7C">
        <w:rPr>
          <w:rFonts w:ascii="Times New Roman" w:hAnsi="Times New Roman"/>
          <w:b/>
          <w:sz w:val="24"/>
          <w:szCs w:val="24"/>
        </w:rPr>
        <w:t xml:space="preserve"> </w:t>
      </w:r>
      <w:r w:rsidR="00164841" w:rsidRPr="006D0A7C">
        <w:rPr>
          <w:rFonts w:ascii="Times New Roman" w:hAnsi="Times New Roman"/>
          <w:sz w:val="24"/>
          <w:szCs w:val="24"/>
        </w:rPr>
        <w:t xml:space="preserve">(evidenční číslo </w:t>
      </w:r>
      <w:r w:rsidR="00164841" w:rsidRPr="006D0A7C">
        <w:rPr>
          <w:rFonts w:ascii="Times New Roman" w:hAnsi="Times New Roman"/>
          <w:smallCaps/>
          <w:sz w:val="24"/>
          <w:szCs w:val="24"/>
        </w:rPr>
        <w:t xml:space="preserve">smlouvy </w:t>
      </w:r>
      <w:r w:rsidR="0047500C">
        <w:rPr>
          <w:rFonts w:ascii="Times New Roman" w:hAnsi="Times New Roman"/>
          <w:smallCaps/>
          <w:sz w:val="24"/>
          <w:szCs w:val="24"/>
        </w:rPr>
        <w:t>kupujícího</w:t>
      </w:r>
      <w:r w:rsidR="00164841" w:rsidRPr="006D0A7C">
        <w:rPr>
          <w:rFonts w:ascii="Times New Roman" w:hAnsi="Times New Roman"/>
          <w:sz w:val="24"/>
          <w:szCs w:val="24"/>
        </w:rPr>
        <w:t xml:space="preserve">) ze dne </w:t>
      </w:r>
      <w:r w:rsidR="0047500C">
        <w:rPr>
          <w:rFonts w:ascii="Times New Roman" w:hAnsi="Times New Roman"/>
          <w:sz w:val="24"/>
          <w:szCs w:val="24"/>
        </w:rPr>
        <w:t>7</w:t>
      </w:r>
      <w:r w:rsidR="00F87D9A">
        <w:rPr>
          <w:rFonts w:ascii="Times New Roman" w:hAnsi="Times New Roman"/>
          <w:sz w:val="24"/>
          <w:szCs w:val="24"/>
        </w:rPr>
        <w:t>.</w:t>
      </w:r>
      <w:r w:rsidR="0047500C">
        <w:rPr>
          <w:rFonts w:ascii="Times New Roman" w:hAnsi="Times New Roman"/>
          <w:sz w:val="24"/>
          <w:szCs w:val="24"/>
        </w:rPr>
        <w:t>7</w:t>
      </w:r>
      <w:r w:rsidR="00F87D9A">
        <w:rPr>
          <w:rFonts w:ascii="Times New Roman" w:hAnsi="Times New Roman"/>
          <w:sz w:val="24"/>
          <w:szCs w:val="24"/>
        </w:rPr>
        <w:t>.202</w:t>
      </w:r>
      <w:r w:rsidR="0047500C">
        <w:rPr>
          <w:rFonts w:ascii="Times New Roman" w:hAnsi="Times New Roman"/>
          <w:sz w:val="24"/>
          <w:szCs w:val="24"/>
        </w:rPr>
        <w:t>2</w:t>
      </w:r>
      <w:r w:rsidR="00164841" w:rsidRPr="006D0A7C">
        <w:rPr>
          <w:rFonts w:ascii="Times New Roman" w:hAnsi="Times New Roman"/>
          <w:sz w:val="24"/>
          <w:szCs w:val="24"/>
        </w:rPr>
        <w:t xml:space="preserve"> </w:t>
      </w:r>
      <w:r w:rsidR="00F4731D">
        <w:rPr>
          <w:rFonts w:ascii="Times New Roman" w:hAnsi="Times New Roman"/>
          <w:sz w:val="24"/>
          <w:szCs w:val="24"/>
        </w:rPr>
        <w:t xml:space="preserve">ve znění Dodatku č. 1 ze dne 16.12.2022 </w:t>
      </w:r>
      <w:r w:rsidR="00BF546C" w:rsidRPr="006D0A7C">
        <w:rPr>
          <w:rFonts w:ascii="Times New Roman" w:hAnsi="Times New Roman"/>
          <w:sz w:val="24"/>
          <w:szCs w:val="24"/>
        </w:rPr>
        <w:t>upravuje takto:</w:t>
      </w:r>
    </w:p>
    <w:p w14:paraId="6A37D242" w14:textId="77777777" w:rsidR="00F4731D" w:rsidRDefault="00F4731D" w:rsidP="00580273">
      <w:pPr>
        <w:numPr>
          <w:ilvl w:val="0"/>
          <w:numId w:val="15"/>
        </w:numPr>
        <w:spacing w:before="600"/>
        <w:ind w:left="425" w:right="-26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Pr="006D0A7C">
        <w:rPr>
          <w:rFonts w:ascii="Times New Roman" w:hAnsi="Times New Roman"/>
          <w:sz w:val="24"/>
          <w:szCs w:val="24"/>
        </w:rPr>
        <w:t xml:space="preserve"> čl. I. </w:t>
      </w:r>
      <w:r>
        <w:rPr>
          <w:rFonts w:ascii="Times New Roman" w:hAnsi="Times New Roman"/>
          <w:sz w:val="24"/>
          <w:szCs w:val="24"/>
        </w:rPr>
        <w:t xml:space="preserve">smluvní strany 2. </w:t>
      </w:r>
      <w:r w:rsidRPr="00F4731D">
        <w:rPr>
          <w:rFonts w:ascii="Times New Roman" w:hAnsi="Times New Roman"/>
          <w:sz w:val="24"/>
          <w:szCs w:val="24"/>
        </w:rPr>
        <w:t xml:space="preserve">Korporace: AQUA </w:t>
      </w:r>
      <w:proofErr w:type="gramStart"/>
      <w:r w:rsidRPr="00F4731D">
        <w:rPr>
          <w:rFonts w:ascii="Times New Roman" w:hAnsi="Times New Roman"/>
          <w:sz w:val="24"/>
          <w:szCs w:val="24"/>
        </w:rPr>
        <w:t>S .</w:t>
      </w:r>
      <w:proofErr w:type="gramEnd"/>
      <w:r w:rsidRPr="00F4731D">
        <w:rPr>
          <w:rFonts w:ascii="Times New Roman" w:hAnsi="Times New Roman"/>
          <w:sz w:val="24"/>
          <w:szCs w:val="24"/>
        </w:rPr>
        <w:t>P.P., s.r.o.</w:t>
      </w:r>
      <w:r>
        <w:rPr>
          <w:rFonts w:ascii="Times New Roman" w:hAnsi="Times New Roman"/>
          <w:sz w:val="24"/>
          <w:szCs w:val="24"/>
        </w:rPr>
        <w:t xml:space="preserve"> se doplňuje nový text následujícího znění:</w:t>
      </w:r>
    </w:p>
    <w:p w14:paraId="45D96CEA" w14:textId="77777777" w:rsidR="006E27B1" w:rsidRDefault="00F4731D" w:rsidP="00F4731D">
      <w:pPr>
        <w:spacing w:before="120"/>
        <w:ind w:left="425" w:right="-261"/>
        <w:jc w:val="both"/>
        <w:rPr>
          <w:rFonts w:ascii="Times New Roman" w:hAnsi="Times New Roman"/>
          <w:sz w:val="24"/>
          <w:szCs w:val="24"/>
        </w:rPr>
      </w:pPr>
      <w:r w:rsidRPr="00F4731D">
        <w:rPr>
          <w:rFonts w:ascii="Times New Roman" w:hAnsi="Times New Roman"/>
          <w:sz w:val="24"/>
          <w:szCs w:val="24"/>
        </w:rPr>
        <w:t>Peněžní ústav:</w:t>
      </w:r>
      <w:r w:rsidRPr="00F4731D">
        <w:rPr>
          <w:rFonts w:ascii="Times New Roman" w:hAnsi="Times New Roman"/>
          <w:sz w:val="24"/>
          <w:szCs w:val="24"/>
        </w:rPr>
        <w:tab/>
      </w:r>
      <w:r w:rsidR="006E27B1">
        <w:rPr>
          <w:rFonts w:ascii="Times New Roman" w:hAnsi="Times New Roman"/>
          <w:sz w:val="24"/>
          <w:szCs w:val="24"/>
        </w:rPr>
        <w:t>XXXXXXXXXXXX</w:t>
      </w:r>
      <w:r w:rsidR="006E27B1" w:rsidRPr="00F4731D">
        <w:rPr>
          <w:rFonts w:ascii="Times New Roman" w:hAnsi="Times New Roman"/>
          <w:sz w:val="24"/>
          <w:szCs w:val="24"/>
        </w:rPr>
        <w:t xml:space="preserve"> </w:t>
      </w:r>
    </w:p>
    <w:p w14:paraId="1E9994BC" w14:textId="09E29793" w:rsidR="00F4731D" w:rsidRDefault="00F4731D" w:rsidP="00F4731D">
      <w:pPr>
        <w:spacing w:before="120"/>
        <w:ind w:left="425" w:right="-261"/>
        <w:jc w:val="both"/>
        <w:rPr>
          <w:rFonts w:ascii="Times New Roman" w:hAnsi="Times New Roman"/>
          <w:sz w:val="24"/>
          <w:szCs w:val="24"/>
        </w:rPr>
      </w:pPr>
      <w:r w:rsidRPr="00F4731D">
        <w:rPr>
          <w:rFonts w:ascii="Times New Roman" w:hAnsi="Times New Roman"/>
          <w:sz w:val="24"/>
          <w:szCs w:val="24"/>
        </w:rPr>
        <w:t>Číslo účtu:</w:t>
      </w:r>
      <w:r w:rsidRPr="00F4731D">
        <w:rPr>
          <w:rFonts w:ascii="Times New Roman" w:hAnsi="Times New Roman"/>
          <w:sz w:val="24"/>
          <w:szCs w:val="24"/>
        </w:rPr>
        <w:tab/>
      </w:r>
      <w:r w:rsidRPr="00F4731D">
        <w:rPr>
          <w:rFonts w:ascii="Times New Roman" w:hAnsi="Times New Roman"/>
          <w:sz w:val="24"/>
          <w:szCs w:val="24"/>
        </w:rPr>
        <w:tab/>
      </w:r>
      <w:r w:rsidR="006E27B1">
        <w:rPr>
          <w:rFonts w:ascii="Times New Roman" w:hAnsi="Times New Roman"/>
          <w:sz w:val="24"/>
          <w:szCs w:val="24"/>
        </w:rPr>
        <w:t>XXXXXXXXXXXX</w:t>
      </w:r>
    </w:p>
    <w:p w14:paraId="04EBB742" w14:textId="77777777" w:rsidR="00A0259D" w:rsidRDefault="00A0259D" w:rsidP="00F4731D">
      <w:pPr>
        <w:spacing w:before="120"/>
        <w:ind w:left="425" w:right="-261"/>
        <w:jc w:val="both"/>
        <w:rPr>
          <w:rFonts w:ascii="Times New Roman" w:hAnsi="Times New Roman"/>
          <w:sz w:val="24"/>
          <w:szCs w:val="24"/>
        </w:rPr>
      </w:pPr>
    </w:p>
    <w:p w14:paraId="61E212FA" w14:textId="77777777" w:rsidR="006922A8" w:rsidRDefault="00A0259D" w:rsidP="00580273">
      <w:pPr>
        <w:numPr>
          <w:ilvl w:val="0"/>
          <w:numId w:val="15"/>
        </w:numPr>
        <w:spacing w:before="600"/>
        <w:ind w:left="425" w:right="-26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</w:t>
      </w:r>
      <w:r w:rsidR="00CE26B6" w:rsidRPr="006D0A7C">
        <w:rPr>
          <w:rFonts w:ascii="Times New Roman" w:hAnsi="Times New Roman"/>
          <w:sz w:val="24"/>
          <w:szCs w:val="24"/>
        </w:rPr>
        <w:t xml:space="preserve"> čl. </w:t>
      </w:r>
      <w:r w:rsidR="006922A8">
        <w:rPr>
          <w:rFonts w:ascii="Times New Roman" w:hAnsi="Times New Roman"/>
          <w:sz w:val="24"/>
          <w:szCs w:val="24"/>
        </w:rPr>
        <w:t>V</w:t>
      </w:r>
      <w:r w:rsidR="00CE26B6" w:rsidRPr="006D0A7C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>se text o</w:t>
      </w:r>
      <w:r w:rsidR="006922A8">
        <w:rPr>
          <w:rFonts w:ascii="Times New Roman" w:hAnsi="Times New Roman"/>
          <w:sz w:val="24"/>
          <w:szCs w:val="24"/>
        </w:rPr>
        <w:t>dstavc</w:t>
      </w:r>
      <w:r>
        <w:rPr>
          <w:rFonts w:ascii="Times New Roman" w:hAnsi="Times New Roman"/>
          <w:sz w:val="24"/>
          <w:szCs w:val="24"/>
        </w:rPr>
        <w:t xml:space="preserve">e 1. nahrazuje </w:t>
      </w:r>
      <w:r w:rsidR="006922A8">
        <w:rPr>
          <w:rFonts w:ascii="Times New Roman" w:hAnsi="Times New Roman"/>
          <w:sz w:val="24"/>
          <w:szCs w:val="24"/>
        </w:rPr>
        <w:t>následující</w:t>
      </w:r>
      <w:r>
        <w:rPr>
          <w:rFonts w:ascii="Times New Roman" w:hAnsi="Times New Roman"/>
          <w:sz w:val="24"/>
          <w:szCs w:val="24"/>
        </w:rPr>
        <w:t>m</w:t>
      </w:r>
      <w:r w:rsidR="006922A8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>m</w:t>
      </w:r>
      <w:r w:rsidR="006922A8">
        <w:rPr>
          <w:rFonts w:ascii="Times New Roman" w:hAnsi="Times New Roman"/>
          <w:sz w:val="24"/>
          <w:szCs w:val="24"/>
        </w:rPr>
        <w:t>:</w:t>
      </w:r>
    </w:p>
    <w:p w14:paraId="38FEDCE8" w14:textId="77777777" w:rsidR="00580273" w:rsidRPr="006D0A7C" w:rsidRDefault="006922A8" w:rsidP="009F2590">
      <w:pPr>
        <w:spacing w:before="120"/>
        <w:ind w:left="425" w:right="-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0259D" w:rsidRPr="00A0259D">
        <w:rPr>
          <w:rFonts w:ascii="Times New Roman" w:hAnsi="Times New Roman"/>
          <w:smallCaps/>
          <w:sz w:val="24"/>
          <w:szCs w:val="24"/>
        </w:rPr>
        <w:t>1.</w:t>
      </w:r>
      <w:r w:rsidR="00A0259D" w:rsidRPr="00A0259D">
        <w:rPr>
          <w:rFonts w:ascii="Times New Roman" w:hAnsi="Times New Roman"/>
          <w:smallCaps/>
          <w:sz w:val="24"/>
          <w:szCs w:val="24"/>
        </w:rPr>
        <w:tab/>
      </w:r>
      <w:r w:rsidR="00A0259D" w:rsidRPr="00A0259D">
        <w:rPr>
          <w:rFonts w:ascii="Times New Roman" w:hAnsi="Times New Roman"/>
          <w:sz w:val="24"/>
          <w:szCs w:val="24"/>
        </w:rPr>
        <w:t>Kupní cena za plnění dle článku II této Smlouvy je sjednaná dohodou smluvních stran podle zákona č. 526/1990 Sb., o cenách. Kupní cena bez DPH činí 19</w:t>
      </w:r>
      <w:r w:rsidR="00A0259D">
        <w:rPr>
          <w:rFonts w:ascii="Times New Roman" w:hAnsi="Times New Roman"/>
          <w:sz w:val="24"/>
          <w:szCs w:val="24"/>
        </w:rPr>
        <w:t>.</w:t>
      </w:r>
      <w:r w:rsidR="00A0259D" w:rsidRPr="00A0259D">
        <w:rPr>
          <w:rFonts w:ascii="Times New Roman" w:hAnsi="Times New Roman"/>
          <w:sz w:val="24"/>
          <w:szCs w:val="24"/>
        </w:rPr>
        <w:t>710</w:t>
      </w:r>
      <w:r w:rsidR="00A0259D">
        <w:rPr>
          <w:rFonts w:ascii="Times New Roman" w:hAnsi="Times New Roman"/>
          <w:sz w:val="24"/>
          <w:szCs w:val="24"/>
        </w:rPr>
        <w:t>.</w:t>
      </w:r>
      <w:r w:rsidR="00A0259D" w:rsidRPr="00A0259D">
        <w:rPr>
          <w:rFonts w:ascii="Times New Roman" w:hAnsi="Times New Roman"/>
          <w:sz w:val="24"/>
          <w:szCs w:val="24"/>
        </w:rPr>
        <w:t xml:space="preserve">747,73 Kč (slovy </w:t>
      </w:r>
      <w:proofErr w:type="spellStart"/>
      <w:r w:rsidR="00A0259D">
        <w:rPr>
          <w:rFonts w:ascii="Times New Roman" w:hAnsi="Times New Roman"/>
          <w:sz w:val="24"/>
          <w:szCs w:val="24"/>
        </w:rPr>
        <w:t>devate</w:t>
      </w:r>
      <w:r w:rsidR="00A0259D" w:rsidRPr="00A0259D">
        <w:rPr>
          <w:rFonts w:ascii="Times New Roman" w:hAnsi="Times New Roman"/>
          <w:sz w:val="24"/>
          <w:szCs w:val="24"/>
        </w:rPr>
        <w:t>náctmilionů</w:t>
      </w:r>
      <w:r w:rsidR="00A0259D">
        <w:rPr>
          <w:rFonts w:ascii="Times New Roman" w:hAnsi="Times New Roman"/>
          <w:sz w:val="24"/>
          <w:szCs w:val="24"/>
        </w:rPr>
        <w:t>sedmsetdeset</w:t>
      </w:r>
      <w:r w:rsidR="00A0259D" w:rsidRPr="00A0259D">
        <w:rPr>
          <w:rFonts w:ascii="Times New Roman" w:hAnsi="Times New Roman"/>
          <w:sz w:val="24"/>
          <w:szCs w:val="24"/>
        </w:rPr>
        <w:t>tisícsedmset</w:t>
      </w:r>
      <w:r w:rsidR="00A0259D">
        <w:rPr>
          <w:rFonts w:ascii="Times New Roman" w:hAnsi="Times New Roman"/>
          <w:sz w:val="24"/>
          <w:szCs w:val="24"/>
        </w:rPr>
        <w:t>čtyřicetsedm</w:t>
      </w:r>
      <w:proofErr w:type="spellEnd"/>
      <w:r w:rsidR="00A0259D" w:rsidRPr="00A0259D">
        <w:rPr>
          <w:rFonts w:ascii="Times New Roman" w:hAnsi="Times New Roman"/>
          <w:sz w:val="24"/>
          <w:szCs w:val="24"/>
        </w:rPr>
        <w:t xml:space="preserve"> korun českých a </w:t>
      </w:r>
      <w:proofErr w:type="spellStart"/>
      <w:r w:rsidR="00A0259D">
        <w:rPr>
          <w:rFonts w:ascii="Times New Roman" w:hAnsi="Times New Roman"/>
          <w:sz w:val="24"/>
          <w:szCs w:val="24"/>
        </w:rPr>
        <w:t>sedmdesáttři</w:t>
      </w:r>
      <w:proofErr w:type="spellEnd"/>
      <w:r w:rsidR="00A0259D" w:rsidRPr="00A0259D">
        <w:rPr>
          <w:rFonts w:ascii="Times New Roman" w:hAnsi="Times New Roman"/>
          <w:sz w:val="24"/>
          <w:szCs w:val="24"/>
        </w:rPr>
        <w:t xml:space="preserve"> haléřů), kdy DPH činí </w:t>
      </w:r>
      <w:r w:rsidR="00B4407C" w:rsidRPr="00B4407C">
        <w:rPr>
          <w:rFonts w:ascii="Times New Roman" w:hAnsi="Times New Roman"/>
          <w:sz w:val="24"/>
          <w:szCs w:val="24"/>
        </w:rPr>
        <w:t>4</w:t>
      </w:r>
      <w:r w:rsidR="00B4407C">
        <w:rPr>
          <w:rFonts w:ascii="Times New Roman" w:hAnsi="Times New Roman"/>
          <w:sz w:val="24"/>
          <w:szCs w:val="24"/>
        </w:rPr>
        <w:t>.</w:t>
      </w:r>
      <w:r w:rsidR="00B4407C" w:rsidRPr="00B4407C">
        <w:rPr>
          <w:rFonts w:ascii="Times New Roman" w:hAnsi="Times New Roman"/>
          <w:sz w:val="24"/>
          <w:szCs w:val="24"/>
        </w:rPr>
        <w:t>139</w:t>
      </w:r>
      <w:r w:rsidR="00B4407C">
        <w:rPr>
          <w:rFonts w:ascii="Times New Roman" w:hAnsi="Times New Roman"/>
          <w:sz w:val="24"/>
          <w:szCs w:val="24"/>
        </w:rPr>
        <w:t>.</w:t>
      </w:r>
      <w:r w:rsidR="00B4407C" w:rsidRPr="00B4407C">
        <w:rPr>
          <w:rFonts w:ascii="Times New Roman" w:hAnsi="Times New Roman"/>
          <w:sz w:val="24"/>
          <w:szCs w:val="24"/>
        </w:rPr>
        <w:t>257,02</w:t>
      </w:r>
      <w:r w:rsidR="00A0259D" w:rsidRPr="00A0259D">
        <w:rPr>
          <w:rFonts w:ascii="Times New Roman" w:hAnsi="Times New Roman"/>
          <w:sz w:val="24"/>
          <w:szCs w:val="24"/>
        </w:rPr>
        <w:t xml:space="preserve"> Kč, cena včetně DPH činí </w:t>
      </w:r>
      <w:r w:rsidR="00B4407C" w:rsidRPr="00B4407C">
        <w:rPr>
          <w:rFonts w:ascii="Times New Roman" w:hAnsi="Times New Roman"/>
          <w:sz w:val="24"/>
          <w:szCs w:val="24"/>
        </w:rPr>
        <w:t>23</w:t>
      </w:r>
      <w:r w:rsidR="00B4407C">
        <w:rPr>
          <w:rFonts w:ascii="Times New Roman" w:hAnsi="Times New Roman"/>
          <w:sz w:val="24"/>
          <w:szCs w:val="24"/>
        </w:rPr>
        <w:t>.</w:t>
      </w:r>
      <w:r w:rsidR="00B4407C" w:rsidRPr="00B4407C">
        <w:rPr>
          <w:rFonts w:ascii="Times New Roman" w:hAnsi="Times New Roman"/>
          <w:sz w:val="24"/>
          <w:szCs w:val="24"/>
        </w:rPr>
        <w:t>850</w:t>
      </w:r>
      <w:r w:rsidR="00B4407C">
        <w:rPr>
          <w:rFonts w:ascii="Times New Roman" w:hAnsi="Times New Roman"/>
          <w:sz w:val="24"/>
          <w:szCs w:val="24"/>
        </w:rPr>
        <w:t>.</w:t>
      </w:r>
      <w:r w:rsidR="00B4407C" w:rsidRPr="00B4407C">
        <w:rPr>
          <w:rFonts w:ascii="Times New Roman" w:hAnsi="Times New Roman"/>
          <w:sz w:val="24"/>
          <w:szCs w:val="24"/>
        </w:rPr>
        <w:t>004,75</w:t>
      </w:r>
      <w:r w:rsidR="00A0259D" w:rsidRPr="00A0259D">
        <w:rPr>
          <w:rFonts w:ascii="Times New Roman" w:hAnsi="Times New Roman"/>
          <w:sz w:val="24"/>
          <w:szCs w:val="24"/>
        </w:rPr>
        <w:t xml:space="preserve"> Kč (slovy </w:t>
      </w:r>
      <w:proofErr w:type="spellStart"/>
      <w:r w:rsidR="00A0259D" w:rsidRPr="00A0259D">
        <w:rPr>
          <w:rFonts w:ascii="Times New Roman" w:hAnsi="Times New Roman"/>
          <w:sz w:val="24"/>
          <w:szCs w:val="24"/>
        </w:rPr>
        <w:t>dvacet</w:t>
      </w:r>
      <w:r w:rsidR="00B4407C">
        <w:rPr>
          <w:rFonts w:ascii="Times New Roman" w:hAnsi="Times New Roman"/>
          <w:sz w:val="24"/>
          <w:szCs w:val="24"/>
        </w:rPr>
        <w:t>tři</w:t>
      </w:r>
      <w:r w:rsidR="00A0259D" w:rsidRPr="00A0259D">
        <w:rPr>
          <w:rFonts w:ascii="Times New Roman" w:hAnsi="Times New Roman"/>
          <w:sz w:val="24"/>
          <w:szCs w:val="24"/>
        </w:rPr>
        <w:t>milionů</w:t>
      </w:r>
      <w:r w:rsidR="00B4407C">
        <w:rPr>
          <w:rFonts w:ascii="Times New Roman" w:hAnsi="Times New Roman"/>
          <w:sz w:val="24"/>
          <w:szCs w:val="24"/>
        </w:rPr>
        <w:t>osm</w:t>
      </w:r>
      <w:r w:rsidR="00A0259D" w:rsidRPr="00A0259D">
        <w:rPr>
          <w:rFonts w:ascii="Times New Roman" w:hAnsi="Times New Roman"/>
          <w:sz w:val="24"/>
          <w:szCs w:val="24"/>
        </w:rPr>
        <w:t>set</w:t>
      </w:r>
      <w:r w:rsidR="00B4407C">
        <w:rPr>
          <w:rFonts w:ascii="Times New Roman" w:hAnsi="Times New Roman"/>
          <w:sz w:val="24"/>
          <w:szCs w:val="24"/>
        </w:rPr>
        <w:t>pad</w:t>
      </w:r>
      <w:r w:rsidR="00A0259D" w:rsidRPr="00A0259D">
        <w:rPr>
          <w:rFonts w:ascii="Times New Roman" w:hAnsi="Times New Roman"/>
          <w:sz w:val="24"/>
          <w:szCs w:val="24"/>
        </w:rPr>
        <w:t>esáttisícčtyři</w:t>
      </w:r>
      <w:proofErr w:type="spellEnd"/>
      <w:r w:rsidR="00A0259D" w:rsidRPr="00A0259D">
        <w:rPr>
          <w:rFonts w:ascii="Times New Roman" w:hAnsi="Times New Roman"/>
          <w:sz w:val="24"/>
          <w:szCs w:val="24"/>
        </w:rPr>
        <w:t xml:space="preserve"> korun</w:t>
      </w:r>
      <w:r w:rsidR="00B4407C">
        <w:rPr>
          <w:rFonts w:ascii="Times New Roman" w:hAnsi="Times New Roman"/>
          <w:sz w:val="24"/>
          <w:szCs w:val="24"/>
        </w:rPr>
        <w:t>y</w:t>
      </w:r>
      <w:r w:rsidR="00A0259D" w:rsidRPr="00A0259D">
        <w:rPr>
          <w:rFonts w:ascii="Times New Roman" w:hAnsi="Times New Roman"/>
          <w:sz w:val="24"/>
          <w:szCs w:val="24"/>
        </w:rPr>
        <w:t xml:space="preserve"> česk</w:t>
      </w:r>
      <w:r w:rsidR="00B4407C">
        <w:rPr>
          <w:rFonts w:ascii="Times New Roman" w:hAnsi="Times New Roman"/>
          <w:sz w:val="24"/>
          <w:szCs w:val="24"/>
        </w:rPr>
        <w:t>é</w:t>
      </w:r>
      <w:r w:rsidR="00A0259D" w:rsidRPr="00A025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7C">
        <w:rPr>
          <w:rFonts w:ascii="Times New Roman" w:hAnsi="Times New Roman"/>
          <w:sz w:val="24"/>
          <w:szCs w:val="24"/>
        </w:rPr>
        <w:t>sedmdesátpět</w:t>
      </w:r>
      <w:proofErr w:type="spellEnd"/>
      <w:r w:rsidR="00A0259D" w:rsidRPr="00A0259D">
        <w:rPr>
          <w:rFonts w:ascii="Times New Roman" w:hAnsi="Times New Roman"/>
          <w:sz w:val="24"/>
          <w:szCs w:val="24"/>
        </w:rPr>
        <w:t xml:space="preserve"> haléřů). Tato cena je konečná a zahrnuje veškeré náklady spojené s plněním Smlouvy</w:t>
      </w:r>
      <w:r w:rsidR="009F2590">
        <w:rPr>
          <w:rFonts w:ascii="Times New Roman" w:hAnsi="Times New Roman"/>
          <w:sz w:val="24"/>
          <w:szCs w:val="24"/>
        </w:rPr>
        <w:t>.“</w:t>
      </w:r>
    </w:p>
    <w:p w14:paraId="246D9330" w14:textId="77777777" w:rsidR="00B3171E" w:rsidRPr="000845FD" w:rsidRDefault="00B3171E" w:rsidP="00B3171E">
      <w:pPr>
        <w:tabs>
          <w:tab w:val="left" w:pos="-1134"/>
          <w:tab w:val="left" w:pos="-567"/>
        </w:tabs>
        <w:spacing w:before="480"/>
        <w:ind w:right="-1"/>
        <w:jc w:val="both"/>
        <w:rPr>
          <w:rFonts w:ascii="Times New Roman" w:hAnsi="Times New Roman"/>
          <w:sz w:val="24"/>
          <w:szCs w:val="24"/>
        </w:rPr>
      </w:pPr>
      <w:r w:rsidRPr="000845FD">
        <w:rPr>
          <w:rFonts w:ascii="Times New Roman" w:hAnsi="Times New Roman"/>
          <w:sz w:val="24"/>
          <w:szCs w:val="24"/>
        </w:rPr>
        <w:t xml:space="preserve">Ostatní </w:t>
      </w:r>
      <w:r w:rsidR="00905C3F" w:rsidRPr="000845FD">
        <w:rPr>
          <w:rFonts w:ascii="Times New Roman" w:hAnsi="Times New Roman"/>
          <w:sz w:val="24"/>
          <w:szCs w:val="24"/>
        </w:rPr>
        <w:t xml:space="preserve">podmínky a </w:t>
      </w:r>
      <w:r w:rsidRPr="000845FD">
        <w:rPr>
          <w:rFonts w:ascii="Times New Roman" w:hAnsi="Times New Roman"/>
          <w:sz w:val="24"/>
          <w:szCs w:val="24"/>
        </w:rPr>
        <w:t xml:space="preserve">ujednání </w:t>
      </w:r>
      <w:r w:rsidRPr="000845FD">
        <w:rPr>
          <w:rFonts w:ascii="Times New Roman" w:hAnsi="Times New Roman"/>
          <w:smallCaps/>
          <w:sz w:val="24"/>
          <w:szCs w:val="24"/>
        </w:rPr>
        <w:t>smlouvy</w:t>
      </w:r>
      <w:r w:rsidRPr="000845FD">
        <w:rPr>
          <w:rFonts w:ascii="Times New Roman" w:hAnsi="Times New Roman"/>
          <w:sz w:val="24"/>
          <w:szCs w:val="24"/>
        </w:rPr>
        <w:t xml:space="preserve"> č. </w:t>
      </w:r>
      <w:r w:rsidR="009F2590" w:rsidRPr="000845FD">
        <w:rPr>
          <w:rFonts w:ascii="Times New Roman" w:hAnsi="Times New Roman"/>
          <w:b/>
          <w:sz w:val="24"/>
          <w:szCs w:val="24"/>
        </w:rPr>
        <w:t xml:space="preserve">S/ŘVC/061/OSE/KUP/2021 </w:t>
      </w:r>
      <w:r w:rsidR="009F2590" w:rsidRPr="000845FD">
        <w:rPr>
          <w:rFonts w:ascii="Times New Roman" w:hAnsi="Times New Roman"/>
          <w:sz w:val="24"/>
          <w:szCs w:val="24"/>
        </w:rPr>
        <w:t xml:space="preserve">(evidenční číslo </w:t>
      </w:r>
      <w:r w:rsidR="009F2590" w:rsidRPr="000845FD">
        <w:rPr>
          <w:rFonts w:ascii="Times New Roman" w:hAnsi="Times New Roman"/>
          <w:smallCaps/>
          <w:sz w:val="24"/>
          <w:szCs w:val="24"/>
        </w:rPr>
        <w:t>smlouvy kupujícího</w:t>
      </w:r>
      <w:r w:rsidR="009F2590" w:rsidRPr="000845FD">
        <w:rPr>
          <w:rFonts w:ascii="Times New Roman" w:hAnsi="Times New Roman"/>
          <w:sz w:val="24"/>
          <w:szCs w:val="24"/>
        </w:rPr>
        <w:t xml:space="preserve">) ze dne 7.7.2022 </w:t>
      </w:r>
      <w:r w:rsidR="00A0259D">
        <w:rPr>
          <w:rFonts w:ascii="Times New Roman" w:hAnsi="Times New Roman"/>
          <w:sz w:val="24"/>
          <w:szCs w:val="24"/>
        </w:rPr>
        <w:t>ve znění Dodatku č. 1</w:t>
      </w:r>
      <w:r w:rsidR="008E3B35" w:rsidRPr="000845FD">
        <w:rPr>
          <w:rFonts w:ascii="Times New Roman" w:hAnsi="Times New Roman"/>
          <w:sz w:val="24"/>
          <w:szCs w:val="24"/>
        </w:rPr>
        <w:t xml:space="preserve"> </w:t>
      </w:r>
      <w:r w:rsidRPr="000845FD">
        <w:rPr>
          <w:rFonts w:ascii="Times New Roman" w:hAnsi="Times New Roman"/>
          <w:sz w:val="24"/>
          <w:szCs w:val="24"/>
        </w:rPr>
        <w:t>se nemění.</w:t>
      </w:r>
    </w:p>
    <w:p w14:paraId="1AB4694A" w14:textId="77777777" w:rsidR="00DE181B" w:rsidRPr="000845FD" w:rsidRDefault="00DE181B" w:rsidP="00BC0EC7">
      <w:pPr>
        <w:pStyle w:val="ListParagraph"/>
        <w:tabs>
          <w:tab w:val="left" w:pos="1843"/>
        </w:tabs>
        <w:spacing w:before="240"/>
        <w:ind w:left="0"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5FD">
        <w:rPr>
          <w:rFonts w:ascii="Times New Roman" w:hAnsi="Times New Roman"/>
          <w:sz w:val="24"/>
          <w:szCs w:val="24"/>
        </w:rPr>
        <w:t xml:space="preserve">Tento dodatek je vyhotoven </w:t>
      </w:r>
      <w:r w:rsidR="009F2590" w:rsidRPr="000845FD">
        <w:rPr>
          <w:rFonts w:ascii="Times New Roman" w:hAnsi="Times New Roman"/>
          <w:sz w:val="24"/>
          <w:szCs w:val="24"/>
        </w:rPr>
        <w:t>ve 4 stejnopisech, z nichž po dvou obdrží každá smluvní strana</w:t>
      </w:r>
      <w:r w:rsidRPr="000845FD">
        <w:rPr>
          <w:rFonts w:ascii="Times New Roman" w:hAnsi="Times New Roman"/>
          <w:sz w:val="24"/>
          <w:szCs w:val="24"/>
        </w:rPr>
        <w:t xml:space="preserve">. </w:t>
      </w:r>
    </w:p>
    <w:p w14:paraId="1637EEFD" w14:textId="77777777" w:rsidR="00DE181B" w:rsidRPr="000845FD" w:rsidRDefault="00DE181B" w:rsidP="00BC0EC7">
      <w:pPr>
        <w:pStyle w:val="ListParagraph"/>
        <w:tabs>
          <w:tab w:val="left" w:pos="1843"/>
        </w:tabs>
        <w:spacing w:before="240"/>
        <w:ind w:left="0"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5FD">
        <w:rPr>
          <w:rFonts w:ascii="Times New Roman" w:hAnsi="Times New Roman"/>
          <w:sz w:val="24"/>
          <w:szCs w:val="24"/>
        </w:rPr>
        <w:t xml:space="preserve">Dodatek nabývá platnosti a účinnosti až po uveřejnění v souladu se zákonem č. 340/2015 Sb., </w:t>
      </w:r>
      <w:r w:rsidRPr="000845FD">
        <w:rPr>
          <w:rFonts w:ascii="Times New Roman" w:hAnsi="Times New Roman"/>
          <w:sz w:val="24"/>
          <w:szCs w:val="24"/>
        </w:rPr>
        <w:br/>
        <w:t xml:space="preserve">o zvláštních podmínkách účinnosti některých smluv, uveřejňování těchto smluv a o registru smluv (zákon o registru smluv). </w:t>
      </w:r>
    </w:p>
    <w:p w14:paraId="7AD80EBD" w14:textId="77777777" w:rsidR="00DE181B" w:rsidRPr="000845FD" w:rsidRDefault="00DE181B" w:rsidP="00BC0EC7">
      <w:pPr>
        <w:pStyle w:val="ListParagraph"/>
        <w:tabs>
          <w:tab w:val="left" w:pos="1843"/>
        </w:tabs>
        <w:spacing w:before="240"/>
        <w:ind w:left="0"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5FD">
        <w:rPr>
          <w:rFonts w:ascii="Times New Roman" w:hAnsi="Times New Roman"/>
          <w:sz w:val="24"/>
          <w:szCs w:val="24"/>
        </w:rPr>
        <w:t xml:space="preserve">Smluvní strany souhlasí s uveřejněním dodatku, a výslovně identifikuji takové informace, které nemohou být poskytnuty podle zákona o registru smluv a zákona č. 106/1999 </w:t>
      </w:r>
      <w:proofErr w:type="gramStart"/>
      <w:r w:rsidRPr="000845FD">
        <w:rPr>
          <w:rFonts w:ascii="Times New Roman" w:hAnsi="Times New Roman"/>
          <w:sz w:val="24"/>
          <w:szCs w:val="24"/>
        </w:rPr>
        <w:t>Sb..</w:t>
      </w:r>
      <w:proofErr w:type="gramEnd"/>
      <w:r w:rsidRPr="000845FD">
        <w:rPr>
          <w:rFonts w:ascii="Times New Roman" w:hAnsi="Times New Roman"/>
          <w:sz w:val="24"/>
          <w:szCs w:val="24"/>
        </w:rPr>
        <w:t xml:space="preserve"> </w:t>
      </w:r>
    </w:p>
    <w:p w14:paraId="4DBA56A8" w14:textId="77777777" w:rsidR="003F56CB" w:rsidRDefault="00DE181B" w:rsidP="00BC0EC7">
      <w:pPr>
        <w:pStyle w:val="ListParagraph"/>
        <w:tabs>
          <w:tab w:val="left" w:pos="1843"/>
        </w:tabs>
        <w:spacing w:before="240"/>
        <w:ind w:left="0" w:right="-284"/>
        <w:contextualSpacing w:val="0"/>
        <w:jc w:val="both"/>
        <w:rPr>
          <w:rFonts w:ascii="Times New Roman" w:hAnsi="Times New Roman"/>
          <w:smallCaps/>
          <w:sz w:val="24"/>
          <w:szCs w:val="24"/>
        </w:rPr>
      </w:pPr>
      <w:r w:rsidRPr="000845FD">
        <w:rPr>
          <w:rFonts w:ascii="Times New Roman" w:hAnsi="Times New Roman"/>
          <w:sz w:val="24"/>
          <w:szCs w:val="24"/>
        </w:rPr>
        <w:t xml:space="preserve">Smluvní strany se dohodly, že dodatek správci registru smluv k uveřejnění prostřednictvím registru smluv bez zbytečného odkladu, nejpozději však do 30 dnů od uzavření dodatku, zašle </w:t>
      </w:r>
      <w:r w:rsidR="009F2590" w:rsidRPr="000845FD">
        <w:rPr>
          <w:rFonts w:ascii="Times New Roman" w:hAnsi="Times New Roman"/>
          <w:smallCaps/>
          <w:sz w:val="24"/>
          <w:szCs w:val="24"/>
        </w:rPr>
        <w:t>kupující</w:t>
      </w:r>
      <w:r w:rsidRPr="000845FD">
        <w:rPr>
          <w:rFonts w:ascii="Times New Roman" w:hAnsi="Times New Roman"/>
          <w:sz w:val="24"/>
          <w:szCs w:val="24"/>
        </w:rPr>
        <w:t xml:space="preserve">. </w:t>
      </w:r>
      <w:r w:rsidR="009F2590" w:rsidRPr="000845FD">
        <w:rPr>
          <w:rFonts w:ascii="Times New Roman" w:hAnsi="Times New Roman"/>
          <w:smallCaps/>
          <w:sz w:val="24"/>
          <w:szCs w:val="24"/>
        </w:rPr>
        <w:t>Kupující</w:t>
      </w:r>
      <w:r w:rsidRPr="000845FD">
        <w:rPr>
          <w:rFonts w:ascii="Times New Roman" w:hAnsi="Times New Roman"/>
          <w:sz w:val="24"/>
          <w:szCs w:val="24"/>
        </w:rPr>
        <w:t xml:space="preserve"> po obdržení potvrzení o uveřejnění dodatku v registru smluv od správce registru odešle bez zbytečného odkladu kopii tohoto dokumentu </w:t>
      </w:r>
      <w:r w:rsidR="009F2590" w:rsidRPr="000845FD">
        <w:rPr>
          <w:rFonts w:ascii="Times New Roman" w:hAnsi="Times New Roman"/>
          <w:smallCaps/>
          <w:sz w:val="24"/>
          <w:szCs w:val="24"/>
        </w:rPr>
        <w:t>prodávajícímu</w:t>
      </w:r>
      <w:r w:rsidRPr="000845FD">
        <w:rPr>
          <w:rFonts w:ascii="Times New Roman" w:hAnsi="Times New Roman"/>
          <w:smallCaps/>
          <w:sz w:val="24"/>
          <w:szCs w:val="24"/>
        </w:rPr>
        <w:t>.</w:t>
      </w:r>
    </w:p>
    <w:p w14:paraId="009B3763" w14:textId="77777777" w:rsidR="00A0259D" w:rsidRPr="00A0259D" w:rsidRDefault="00A0259D" w:rsidP="00BC0EC7">
      <w:pPr>
        <w:pStyle w:val="ListParagraph"/>
        <w:tabs>
          <w:tab w:val="left" w:pos="1843"/>
        </w:tabs>
        <w:spacing w:before="240"/>
        <w:ind w:left="0"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259D">
        <w:rPr>
          <w:rFonts w:ascii="Times New Roman" w:hAnsi="Times New Roman"/>
          <w:sz w:val="24"/>
          <w:szCs w:val="24"/>
        </w:rPr>
        <w:t>Příloha:</w:t>
      </w:r>
    </w:p>
    <w:p w14:paraId="5DA887F6" w14:textId="77777777" w:rsidR="00A0259D" w:rsidRPr="00A0259D" w:rsidRDefault="00A0259D" w:rsidP="00A0259D">
      <w:pPr>
        <w:pStyle w:val="ListParagraph"/>
        <w:numPr>
          <w:ilvl w:val="0"/>
          <w:numId w:val="21"/>
        </w:numPr>
        <w:tabs>
          <w:tab w:val="left" w:pos="709"/>
        </w:tabs>
        <w:spacing w:before="240"/>
        <w:ind w:right="-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259D">
        <w:rPr>
          <w:rFonts w:ascii="Times New Roman" w:hAnsi="Times New Roman"/>
          <w:sz w:val="24"/>
          <w:szCs w:val="24"/>
        </w:rPr>
        <w:t>Změnový list</w:t>
      </w:r>
      <w:r>
        <w:rPr>
          <w:rFonts w:ascii="Times New Roman" w:hAnsi="Times New Roman"/>
          <w:sz w:val="24"/>
          <w:szCs w:val="24"/>
        </w:rPr>
        <w:t xml:space="preserve"> č. 2</w:t>
      </w:r>
    </w:p>
    <w:p w14:paraId="2574CEA6" w14:textId="77777777" w:rsidR="001A33A2" w:rsidRDefault="001A33A2" w:rsidP="004F6192">
      <w:pPr>
        <w:tabs>
          <w:tab w:val="left" w:pos="5103"/>
        </w:tabs>
        <w:spacing w:before="720"/>
        <w:jc w:val="both"/>
        <w:rPr>
          <w:rFonts w:ascii="Times New Roman" w:hAnsi="Times New Roman"/>
          <w:sz w:val="24"/>
          <w:szCs w:val="24"/>
        </w:rPr>
      </w:pPr>
    </w:p>
    <w:p w14:paraId="0D2872ED" w14:textId="77777777" w:rsidR="00521C6F" w:rsidRPr="006D0A7C" w:rsidRDefault="001641B1" w:rsidP="004F6192">
      <w:pPr>
        <w:tabs>
          <w:tab w:val="left" w:pos="5103"/>
        </w:tabs>
        <w:spacing w:before="720"/>
        <w:jc w:val="both"/>
        <w:rPr>
          <w:rFonts w:ascii="Times New Roman" w:hAnsi="Times New Roman"/>
          <w:sz w:val="24"/>
          <w:szCs w:val="24"/>
          <w:u w:val="single"/>
        </w:rPr>
      </w:pPr>
      <w:r w:rsidRPr="006D0A7C">
        <w:rPr>
          <w:rFonts w:ascii="Times New Roman" w:hAnsi="Times New Roman"/>
          <w:sz w:val="24"/>
          <w:szCs w:val="24"/>
        </w:rPr>
        <w:t>V Pr</w:t>
      </w:r>
      <w:r w:rsidR="008E3B35" w:rsidRPr="006D0A7C">
        <w:rPr>
          <w:rFonts w:ascii="Times New Roman" w:hAnsi="Times New Roman"/>
          <w:sz w:val="24"/>
          <w:szCs w:val="24"/>
        </w:rPr>
        <w:t>az</w:t>
      </w:r>
      <w:r w:rsidRPr="006D0A7C">
        <w:rPr>
          <w:rFonts w:ascii="Times New Roman" w:hAnsi="Times New Roman"/>
          <w:sz w:val="24"/>
          <w:szCs w:val="24"/>
        </w:rPr>
        <w:t xml:space="preserve">e </w:t>
      </w:r>
      <w:r w:rsidR="003F56CB" w:rsidRPr="006D0A7C">
        <w:rPr>
          <w:rFonts w:ascii="Times New Roman" w:hAnsi="Times New Roman"/>
          <w:sz w:val="24"/>
          <w:szCs w:val="24"/>
        </w:rPr>
        <w:t>…</w:t>
      </w:r>
      <w:r w:rsidR="005A0325" w:rsidRPr="006D0A7C">
        <w:rPr>
          <w:rFonts w:ascii="Times New Roman" w:hAnsi="Times New Roman"/>
          <w:sz w:val="24"/>
          <w:szCs w:val="24"/>
        </w:rPr>
        <w:t>…………...</w:t>
      </w:r>
      <w:r w:rsidR="003F56CB" w:rsidRPr="006D0A7C">
        <w:rPr>
          <w:rFonts w:ascii="Times New Roman" w:hAnsi="Times New Roman"/>
          <w:sz w:val="24"/>
          <w:szCs w:val="24"/>
        </w:rPr>
        <w:t>..................</w:t>
      </w:r>
      <w:r w:rsidR="004F6192" w:rsidRPr="006D0A7C">
        <w:rPr>
          <w:rFonts w:ascii="Times New Roman" w:hAnsi="Times New Roman"/>
          <w:sz w:val="24"/>
          <w:szCs w:val="24"/>
        </w:rPr>
        <w:tab/>
      </w:r>
      <w:r w:rsidR="001D3A71" w:rsidRPr="006D0A7C">
        <w:rPr>
          <w:rFonts w:ascii="Times New Roman" w:hAnsi="Times New Roman"/>
          <w:sz w:val="24"/>
          <w:szCs w:val="24"/>
        </w:rPr>
        <w:t>V</w:t>
      </w:r>
      <w:r w:rsidR="005905A5" w:rsidRPr="006D0A7C">
        <w:rPr>
          <w:rFonts w:ascii="Times New Roman" w:hAnsi="Times New Roman"/>
          <w:sz w:val="24"/>
          <w:szCs w:val="24"/>
        </w:rPr>
        <w:t> </w:t>
      </w:r>
      <w:r w:rsidR="009F2590">
        <w:rPr>
          <w:rFonts w:ascii="Times New Roman" w:hAnsi="Times New Roman"/>
          <w:sz w:val="24"/>
          <w:szCs w:val="24"/>
        </w:rPr>
        <w:t>Litoměřicích</w:t>
      </w:r>
      <w:r w:rsidR="005905A5" w:rsidRPr="006D0A7C">
        <w:rPr>
          <w:rFonts w:ascii="Times New Roman" w:hAnsi="Times New Roman"/>
          <w:sz w:val="24"/>
          <w:szCs w:val="24"/>
        </w:rPr>
        <w:t xml:space="preserve"> </w:t>
      </w:r>
      <w:r w:rsidR="003F56CB" w:rsidRPr="006D0A7C">
        <w:rPr>
          <w:rFonts w:ascii="Times New Roman" w:hAnsi="Times New Roman"/>
          <w:sz w:val="24"/>
          <w:szCs w:val="24"/>
        </w:rPr>
        <w:t>…………………</w:t>
      </w:r>
      <w:r w:rsidR="005905A5" w:rsidRPr="006D0A7C">
        <w:rPr>
          <w:rFonts w:ascii="Times New Roman" w:hAnsi="Times New Roman"/>
          <w:sz w:val="24"/>
          <w:szCs w:val="24"/>
        </w:rPr>
        <w:t>………….</w:t>
      </w:r>
    </w:p>
    <w:p w14:paraId="63CD9F8C" w14:textId="77777777" w:rsidR="00521C6F" w:rsidRPr="006D0A7C" w:rsidRDefault="00521C6F" w:rsidP="00521C6F">
      <w:pPr>
        <w:tabs>
          <w:tab w:val="left" w:pos="5812"/>
        </w:tabs>
        <w:spacing w:before="7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6EB990" w14:textId="77777777" w:rsidR="001641B1" w:rsidRPr="006D0A7C" w:rsidRDefault="001641B1" w:rsidP="004F6192">
      <w:pPr>
        <w:tabs>
          <w:tab w:val="left" w:pos="5103"/>
        </w:tabs>
        <w:spacing w:before="720"/>
        <w:jc w:val="both"/>
        <w:rPr>
          <w:rFonts w:ascii="Times New Roman" w:hAnsi="Times New Roman"/>
          <w:sz w:val="24"/>
          <w:szCs w:val="24"/>
          <w:u w:val="single"/>
        </w:rPr>
      </w:pPr>
      <w:r w:rsidRPr="006D0A7C">
        <w:rPr>
          <w:rFonts w:ascii="Times New Roman" w:hAnsi="Times New Roman"/>
          <w:sz w:val="24"/>
          <w:szCs w:val="24"/>
          <w:u w:val="single"/>
        </w:rPr>
        <w:t xml:space="preserve">Za </w:t>
      </w:r>
      <w:proofErr w:type="gramStart"/>
      <w:r w:rsidR="009F2590" w:rsidRPr="009F2590">
        <w:rPr>
          <w:rFonts w:ascii="Times New Roman" w:hAnsi="Times New Roman"/>
          <w:smallCaps/>
          <w:sz w:val="24"/>
          <w:szCs w:val="24"/>
          <w:u w:val="single"/>
        </w:rPr>
        <w:t>kupujícího</w:t>
      </w:r>
      <w:r w:rsidRPr="006D0A7C">
        <w:rPr>
          <w:rFonts w:ascii="Times New Roman" w:hAnsi="Times New Roman"/>
          <w:sz w:val="24"/>
          <w:szCs w:val="24"/>
        </w:rPr>
        <w:t xml:space="preserve"> </w:t>
      </w:r>
      <w:r w:rsidR="003F6C1A" w:rsidRPr="006D0A7C">
        <w:rPr>
          <w:rFonts w:ascii="Times New Roman" w:hAnsi="Times New Roman"/>
          <w:sz w:val="24"/>
          <w:szCs w:val="24"/>
        </w:rPr>
        <w:t xml:space="preserve"> </w:t>
      </w:r>
      <w:r w:rsidR="000B4FD3" w:rsidRPr="006D0A7C">
        <w:rPr>
          <w:rFonts w:ascii="Times New Roman" w:hAnsi="Times New Roman"/>
          <w:sz w:val="24"/>
          <w:szCs w:val="24"/>
        </w:rPr>
        <w:t>.............</w:t>
      </w:r>
      <w:r w:rsidR="00115368" w:rsidRPr="006D0A7C">
        <w:rPr>
          <w:rFonts w:ascii="Times New Roman" w:hAnsi="Times New Roman"/>
          <w:sz w:val="24"/>
          <w:szCs w:val="24"/>
        </w:rPr>
        <w:t>..........</w:t>
      </w:r>
      <w:r w:rsidR="000B4FD3" w:rsidRPr="006D0A7C">
        <w:rPr>
          <w:rFonts w:ascii="Times New Roman" w:hAnsi="Times New Roman"/>
          <w:sz w:val="24"/>
          <w:szCs w:val="24"/>
        </w:rPr>
        <w:t>......................</w:t>
      </w:r>
      <w:proofErr w:type="gramEnd"/>
      <w:r w:rsidR="004F6192"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  <w:u w:val="single"/>
        </w:rPr>
        <w:t xml:space="preserve">Za </w:t>
      </w:r>
      <w:proofErr w:type="gramStart"/>
      <w:r w:rsidR="009F2590">
        <w:rPr>
          <w:rFonts w:ascii="Times New Roman" w:hAnsi="Times New Roman"/>
          <w:smallCaps/>
          <w:sz w:val="24"/>
          <w:szCs w:val="24"/>
          <w:u w:val="single"/>
        </w:rPr>
        <w:t>prodávajícího</w:t>
      </w:r>
      <w:r w:rsidR="004F6192" w:rsidRPr="006D0A7C">
        <w:rPr>
          <w:rFonts w:ascii="Times New Roman" w:hAnsi="Times New Roman"/>
          <w:sz w:val="24"/>
          <w:szCs w:val="24"/>
        </w:rPr>
        <w:t xml:space="preserve">  .....................................</w:t>
      </w:r>
      <w:proofErr w:type="gramEnd"/>
      <w:r w:rsidR="003F6C1A" w:rsidRPr="006D0A7C">
        <w:rPr>
          <w:rFonts w:ascii="Times New Roman" w:hAnsi="Times New Roman"/>
          <w:smallCaps/>
          <w:sz w:val="24"/>
          <w:szCs w:val="24"/>
        </w:rPr>
        <w:t xml:space="preserve"> </w:t>
      </w:r>
      <w:r w:rsidR="000B4FD3" w:rsidRPr="006D0A7C">
        <w:rPr>
          <w:rFonts w:ascii="Times New Roman" w:hAnsi="Times New Roman"/>
          <w:smallCaps/>
          <w:sz w:val="24"/>
          <w:szCs w:val="24"/>
        </w:rPr>
        <w:t xml:space="preserve"> </w:t>
      </w:r>
    </w:p>
    <w:p w14:paraId="4CD1C53E" w14:textId="53FE74AC" w:rsidR="00B3171E" w:rsidRPr="006D0A7C" w:rsidRDefault="00B3171E" w:rsidP="00B3171E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  <w:t xml:space="preserve">  Ing. Lubomír Fojtů</w:t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Pr="006D0A7C">
        <w:rPr>
          <w:rFonts w:ascii="Times New Roman" w:hAnsi="Times New Roman"/>
          <w:b/>
          <w:sz w:val="24"/>
          <w:szCs w:val="24"/>
        </w:rPr>
        <w:tab/>
      </w:r>
      <w:r w:rsidR="005905A5" w:rsidRPr="006D0A7C">
        <w:rPr>
          <w:rFonts w:ascii="Times New Roman" w:hAnsi="Times New Roman"/>
          <w:b/>
          <w:sz w:val="24"/>
          <w:szCs w:val="24"/>
        </w:rPr>
        <w:tab/>
      </w:r>
      <w:r w:rsidR="004F6192" w:rsidRPr="006D0A7C">
        <w:rPr>
          <w:rFonts w:ascii="Times New Roman" w:hAnsi="Times New Roman"/>
          <w:b/>
          <w:sz w:val="24"/>
          <w:szCs w:val="24"/>
        </w:rPr>
        <w:t xml:space="preserve"> </w:t>
      </w:r>
      <w:r w:rsidR="005905A5" w:rsidRPr="006D0A7C">
        <w:rPr>
          <w:rFonts w:ascii="Times New Roman" w:hAnsi="Times New Roman"/>
          <w:b/>
          <w:sz w:val="24"/>
          <w:szCs w:val="24"/>
        </w:rPr>
        <w:tab/>
      </w:r>
      <w:r w:rsidR="005905A5" w:rsidRPr="006D0A7C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0845FD">
        <w:rPr>
          <w:rFonts w:ascii="Times New Roman" w:hAnsi="Times New Roman"/>
          <w:b/>
          <w:sz w:val="24"/>
          <w:szCs w:val="24"/>
        </w:rPr>
        <w:tab/>
      </w:r>
      <w:r w:rsidR="005066BC" w:rsidRPr="005066BC">
        <w:rPr>
          <w:rFonts w:ascii="Times New Roman" w:hAnsi="Times New Roman"/>
          <w:b/>
          <w:sz w:val="24"/>
          <w:szCs w:val="24"/>
        </w:rPr>
        <w:t>XXXXXXXXXXXX</w:t>
      </w:r>
    </w:p>
    <w:p w14:paraId="2688C600" w14:textId="77777777" w:rsidR="00B3171E" w:rsidRPr="006D0A7C" w:rsidRDefault="00B3171E" w:rsidP="00B3171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 </w:t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  <w:t xml:space="preserve">               ředitel</w:t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  <w:t xml:space="preserve">        </w:t>
      </w:r>
      <w:r w:rsidR="004F6192" w:rsidRPr="006D0A7C">
        <w:rPr>
          <w:rFonts w:ascii="Times New Roman" w:hAnsi="Times New Roman"/>
          <w:sz w:val="24"/>
          <w:szCs w:val="24"/>
        </w:rPr>
        <w:t xml:space="preserve"> </w:t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4F6192" w:rsidRPr="006D0A7C">
        <w:rPr>
          <w:rFonts w:ascii="Times New Roman" w:hAnsi="Times New Roman"/>
          <w:sz w:val="24"/>
          <w:szCs w:val="24"/>
        </w:rPr>
        <w:t>jednatel</w:t>
      </w:r>
      <w:r w:rsidR="005905A5" w:rsidRPr="006D0A7C">
        <w:rPr>
          <w:rFonts w:ascii="Times New Roman" w:hAnsi="Times New Roman"/>
          <w:sz w:val="24"/>
          <w:szCs w:val="24"/>
        </w:rPr>
        <w:t xml:space="preserve"> společnosti</w:t>
      </w:r>
    </w:p>
    <w:p w14:paraId="6820A5BF" w14:textId="77777777" w:rsidR="00B3171E" w:rsidRPr="006D0A7C" w:rsidRDefault="00B3171E" w:rsidP="00B3171E">
      <w:pPr>
        <w:ind w:right="-142"/>
        <w:jc w:val="both"/>
        <w:rPr>
          <w:rFonts w:ascii="Times New Roman" w:hAnsi="Times New Roman"/>
          <w:sz w:val="24"/>
          <w:szCs w:val="24"/>
        </w:rPr>
      </w:pPr>
      <w:r w:rsidRPr="006D0A7C">
        <w:rPr>
          <w:rFonts w:ascii="Times New Roman" w:hAnsi="Times New Roman"/>
          <w:sz w:val="24"/>
          <w:szCs w:val="24"/>
        </w:rPr>
        <w:t xml:space="preserve"> </w:t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  <w:t xml:space="preserve">   </w:t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  <w:t xml:space="preserve">   Ředitelství vodních cest ČR</w:t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Pr="006D0A7C">
        <w:rPr>
          <w:rFonts w:ascii="Times New Roman" w:hAnsi="Times New Roman"/>
          <w:sz w:val="24"/>
          <w:szCs w:val="24"/>
        </w:rPr>
        <w:tab/>
      </w:r>
      <w:r w:rsidR="007A78DC" w:rsidRPr="006D0A7C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4F6192" w:rsidRPr="006D0A7C">
        <w:rPr>
          <w:rFonts w:ascii="Times New Roman" w:hAnsi="Times New Roman"/>
          <w:sz w:val="24"/>
          <w:szCs w:val="24"/>
        </w:rPr>
        <w:tab/>
        <w:t xml:space="preserve">  </w:t>
      </w:r>
      <w:r w:rsidR="005905A5" w:rsidRPr="006D0A7C">
        <w:rPr>
          <w:rFonts w:ascii="Times New Roman" w:hAnsi="Times New Roman"/>
          <w:sz w:val="24"/>
          <w:szCs w:val="24"/>
        </w:rPr>
        <w:tab/>
      </w:r>
      <w:proofErr w:type="gramEnd"/>
      <w:r w:rsidR="005905A5" w:rsidRPr="006D0A7C">
        <w:rPr>
          <w:rFonts w:ascii="Times New Roman" w:hAnsi="Times New Roman"/>
          <w:sz w:val="24"/>
          <w:szCs w:val="24"/>
        </w:rPr>
        <w:tab/>
      </w:r>
      <w:r w:rsidR="005905A5" w:rsidRPr="006D0A7C">
        <w:rPr>
          <w:rFonts w:ascii="Times New Roman" w:hAnsi="Times New Roman"/>
          <w:sz w:val="24"/>
          <w:szCs w:val="24"/>
        </w:rPr>
        <w:tab/>
      </w:r>
      <w:r w:rsidR="005905A5" w:rsidRPr="006D0A7C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0845FD">
        <w:rPr>
          <w:rFonts w:ascii="Times New Roman" w:hAnsi="Times New Roman"/>
          <w:sz w:val="24"/>
          <w:szCs w:val="24"/>
        </w:rPr>
        <w:tab/>
      </w:r>
      <w:r w:rsidR="009F2590" w:rsidRPr="009F2590">
        <w:rPr>
          <w:rFonts w:ascii="Times New Roman" w:hAnsi="Times New Roman"/>
          <w:sz w:val="24"/>
          <w:szCs w:val="24"/>
        </w:rPr>
        <w:t>zplnomocněn</w:t>
      </w:r>
    </w:p>
    <w:p w14:paraId="47836F9F" w14:textId="77777777" w:rsidR="003F56CB" w:rsidRDefault="003F56CB" w:rsidP="00115368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185DFB6F" w14:textId="77777777" w:rsidR="00AA7CEC" w:rsidRDefault="00AA7CEC" w:rsidP="00115368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68838E8A" w14:textId="77777777" w:rsidR="00AA7CEC" w:rsidRPr="006D0A7C" w:rsidRDefault="00AA7CEC" w:rsidP="00115368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1A002D56" w14:textId="77777777" w:rsidR="003F56CB" w:rsidRPr="006D0A7C" w:rsidRDefault="003F56CB" w:rsidP="00115368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2A457933" w14:textId="77777777" w:rsidR="009C732F" w:rsidRDefault="003F56CB" w:rsidP="00115368">
      <w:pPr>
        <w:ind w:right="-142"/>
        <w:jc w:val="both"/>
        <w:rPr>
          <w:rFonts w:ascii="Times New Roman" w:hAnsi="Times New Roman"/>
          <w:sz w:val="24"/>
          <w:szCs w:val="24"/>
        </w:rPr>
        <w:sectPr w:rsidR="009C732F" w:rsidSect="006D0A7C">
          <w:footerReference w:type="default" r:id="rId7"/>
          <w:pgSz w:w="11906" w:h="16838" w:code="9"/>
          <w:pgMar w:top="851" w:right="1134" w:bottom="714" w:left="1134" w:header="567" w:footer="567" w:gutter="0"/>
          <w:cols w:space="708"/>
          <w:docGrid w:linePitch="360"/>
        </w:sectPr>
      </w:pPr>
      <w:r w:rsidRPr="006D0A7C">
        <w:rPr>
          <w:rFonts w:ascii="Times New Roman" w:hAnsi="Times New Roman"/>
          <w:sz w:val="24"/>
          <w:szCs w:val="24"/>
        </w:rPr>
        <w:t>Uveřejněno v Registru smluv dne ………………………</w:t>
      </w:r>
      <w:r w:rsidRPr="006D0A7C">
        <w:rPr>
          <w:rFonts w:ascii="Times New Roman" w:hAnsi="Times New Roman"/>
          <w:sz w:val="24"/>
          <w:szCs w:val="24"/>
        </w:rPr>
        <w:tab/>
      </w:r>
    </w:p>
    <w:p w14:paraId="13D7F09F" w14:textId="77777777" w:rsidR="003F56CB" w:rsidRPr="006D0A7C" w:rsidRDefault="003F56CB" w:rsidP="00115368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5E36B5F6" w14:textId="77777777" w:rsidR="00BD3961" w:rsidRPr="006D0A7C" w:rsidRDefault="00BD3961" w:rsidP="00BD396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927"/>
        <w:gridCol w:w="362"/>
        <w:gridCol w:w="1266"/>
        <w:gridCol w:w="491"/>
        <w:gridCol w:w="560"/>
        <w:gridCol w:w="1978"/>
        <w:gridCol w:w="1428"/>
        <w:gridCol w:w="145"/>
      </w:tblGrid>
      <w:tr w:rsidR="009C732F" w:rsidRPr="009C732F" w14:paraId="1DAABB8E" w14:textId="77777777" w:rsidTr="009C732F">
        <w:trPr>
          <w:gridAfter w:val="1"/>
          <w:wAfter w:w="49" w:type="pct"/>
          <w:trHeight w:val="293"/>
        </w:trPr>
        <w:tc>
          <w:tcPr>
            <w:tcW w:w="10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948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RANGE!A1:I59"/>
            <w:r w:rsidRPr="009C732F">
              <w:rPr>
                <w:rFonts w:ascii="Calibri" w:hAnsi="Calibri" w:cs="Calibri"/>
                <w:b/>
                <w:bCs/>
                <w:sz w:val="24"/>
                <w:szCs w:val="24"/>
              </w:rPr>
              <w:t>Kupující:</w:t>
            </w:r>
            <w:bookmarkEnd w:id="0"/>
          </w:p>
        </w:tc>
        <w:tc>
          <w:tcPr>
            <w:tcW w:w="3941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84BA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  <w:r w:rsidRPr="009C732F">
              <w:rPr>
                <w:rFonts w:ascii="Calibri" w:hAnsi="Calibri" w:cs="Calibri"/>
                <w:sz w:val="28"/>
                <w:szCs w:val="28"/>
              </w:rPr>
              <w:t xml:space="preserve">Česká </w:t>
            </w:r>
            <w:proofErr w:type="gramStart"/>
            <w:r w:rsidRPr="009C732F">
              <w:rPr>
                <w:rFonts w:ascii="Calibri" w:hAnsi="Calibri" w:cs="Calibri"/>
                <w:sz w:val="28"/>
                <w:szCs w:val="28"/>
              </w:rPr>
              <w:t>republika - Ředitelství</w:t>
            </w:r>
            <w:proofErr w:type="gramEnd"/>
            <w:r w:rsidRPr="009C732F">
              <w:rPr>
                <w:rFonts w:ascii="Calibri" w:hAnsi="Calibri" w:cs="Calibri"/>
                <w:sz w:val="28"/>
                <w:szCs w:val="28"/>
              </w:rPr>
              <w:t xml:space="preserve"> vodních cest</w:t>
            </w:r>
          </w:p>
        </w:tc>
      </w:tr>
      <w:tr w:rsidR="009C732F" w:rsidRPr="009C732F" w14:paraId="09D40F98" w14:textId="77777777" w:rsidTr="009C732F">
        <w:trPr>
          <w:trHeight w:val="255"/>
        </w:trPr>
        <w:tc>
          <w:tcPr>
            <w:tcW w:w="10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E9FC6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41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8579C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AA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C732F" w:rsidRPr="009C732F" w14:paraId="3AA81F15" w14:textId="77777777" w:rsidTr="009C732F">
        <w:trPr>
          <w:trHeight w:val="255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F33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732F">
              <w:rPr>
                <w:rFonts w:ascii="Calibri" w:hAnsi="Calibri" w:cs="Calibri"/>
                <w:b/>
                <w:bCs/>
                <w:sz w:val="24"/>
                <w:szCs w:val="24"/>
              </w:rPr>
              <w:t>Projekt:</w:t>
            </w:r>
          </w:p>
        </w:tc>
        <w:tc>
          <w:tcPr>
            <w:tcW w:w="3941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4DC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Inspekční plavidlo ŘVC ČR (inovativní technologie s alternativním pohonem)</w:t>
            </w:r>
          </w:p>
        </w:tc>
        <w:tc>
          <w:tcPr>
            <w:tcW w:w="49" w:type="pct"/>
            <w:vAlign w:val="center"/>
            <w:hideMark/>
          </w:tcPr>
          <w:p w14:paraId="754A338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CDC37B8" w14:textId="77777777" w:rsidTr="009C732F">
        <w:trPr>
          <w:trHeight w:val="255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D3C7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41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C5D19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DD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9C732F" w:rsidRPr="009C732F" w14:paraId="745A094A" w14:textId="77777777" w:rsidTr="009C732F">
        <w:trPr>
          <w:trHeight w:val="255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28D2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732F">
              <w:rPr>
                <w:rFonts w:ascii="Calibri" w:hAnsi="Calibri" w:cs="Calibri"/>
                <w:b/>
                <w:bCs/>
                <w:sz w:val="24"/>
                <w:szCs w:val="24"/>
              </w:rPr>
              <w:t>Projekt/stavba:</w:t>
            </w:r>
          </w:p>
        </w:tc>
        <w:tc>
          <w:tcPr>
            <w:tcW w:w="3941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DB5A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DODÁVKA INSPEKČNÍHO PLAVIDLA ŘVC INOVATIVNÍ TECHNOLOGIE S ALTERNATIVNÍM POHONEM</w:t>
            </w:r>
          </w:p>
        </w:tc>
        <w:tc>
          <w:tcPr>
            <w:tcW w:w="49" w:type="pct"/>
            <w:vAlign w:val="center"/>
            <w:hideMark/>
          </w:tcPr>
          <w:p w14:paraId="642ED97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5E42D77" w14:textId="77777777" w:rsidTr="009C732F">
        <w:trPr>
          <w:trHeight w:val="375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3524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41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7FA9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E87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9C732F" w:rsidRPr="009C732F" w14:paraId="42E8923C" w14:textId="77777777" w:rsidTr="009C732F">
        <w:trPr>
          <w:trHeight w:val="623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1215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  <w:r w:rsidRPr="009C732F">
              <w:rPr>
                <w:rFonts w:ascii="Calibri" w:hAnsi="Calibri" w:cs="Calibri"/>
                <w:sz w:val="20"/>
              </w:rPr>
              <w:t>Změnový list schválený všemi účastníky změnového řízení se stává součástí obsahu závazku mezi kupujícím a dodavatelem a bude součástí dodatku k uzavřené smlouvě. Datem schválení je souhlasné vyjádření ředitele kupujícího.</w:t>
            </w:r>
          </w:p>
        </w:tc>
        <w:tc>
          <w:tcPr>
            <w:tcW w:w="49" w:type="pct"/>
            <w:vAlign w:val="center"/>
            <w:hideMark/>
          </w:tcPr>
          <w:p w14:paraId="0F5820A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C42B4C4" w14:textId="77777777" w:rsidTr="009C732F">
        <w:trPr>
          <w:trHeight w:val="255"/>
        </w:trPr>
        <w:tc>
          <w:tcPr>
            <w:tcW w:w="244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EE82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ZMĚNOVÝ LIST</w:t>
            </w:r>
          </w:p>
        </w:tc>
        <w:tc>
          <w:tcPr>
            <w:tcW w:w="12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D10A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POŘADOVÉ Č.</w:t>
            </w:r>
          </w:p>
        </w:tc>
        <w:tc>
          <w:tcPr>
            <w:tcW w:w="122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096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" w:type="pct"/>
            <w:vAlign w:val="center"/>
            <w:hideMark/>
          </w:tcPr>
          <w:p w14:paraId="5EFA1D4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7CE738E" w14:textId="77777777" w:rsidTr="009C732F">
        <w:trPr>
          <w:trHeight w:val="255"/>
        </w:trPr>
        <w:tc>
          <w:tcPr>
            <w:tcW w:w="244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D99F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A8A5F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403F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0C8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9C732F" w:rsidRPr="009C732F" w14:paraId="5C57CB8E" w14:textId="77777777" w:rsidTr="009C732F">
        <w:trPr>
          <w:trHeight w:val="270"/>
        </w:trPr>
        <w:tc>
          <w:tcPr>
            <w:tcW w:w="244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3B50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B487F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2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1C27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2A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53E89BC4" w14:textId="77777777" w:rsidTr="009C732F">
        <w:trPr>
          <w:trHeight w:val="390"/>
        </w:trPr>
        <w:tc>
          <w:tcPr>
            <w:tcW w:w="24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8E41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VERZE ZMĚNOVÉHO LISTU </w:t>
            </w:r>
          </w:p>
        </w:tc>
        <w:tc>
          <w:tcPr>
            <w:tcW w:w="12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360E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A801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68C11FA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DCC2492" w14:textId="77777777" w:rsidTr="009C732F">
        <w:trPr>
          <w:trHeight w:val="375"/>
        </w:trPr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C945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Datum vydání: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4A76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27.03.2023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529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  <w:r w:rsidRPr="009C732F">
              <w:rPr>
                <w:rFonts w:ascii="Cambria" w:hAnsi="Cambria" w:cs="Arial CE"/>
                <w:strike/>
                <w:sz w:val="28"/>
                <w:szCs w:val="28"/>
              </w:rPr>
              <w:t>A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DD1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b/>
                <w:bCs/>
                <w:sz w:val="28"/>
                <w:szCs w:val="28"/>
              </w:rPr>
            </w:pPr>
            <w:r w:rsidRPr="009C732F">
              <w:rPr>
                <w:rFonts w:ascii="Cambria" w:hAnsi="Cambria" w:cs="Arial CE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D0A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  <w:r w:rsidRPr="009C732F">
              <w:rPr>
                <w:rFonts w:ascii="Cambria" w:hAnsi="Cambria" w:cs="Arial CE"/>
                <w:strike/>
                <w:sz w:val="28"/>
                <w:szCs w:val="28"/>
              </w:rPr>
              <w:t>C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2A40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  <w:r w:rsidRPr="009C732F">
              <w:rPr>
                <w:rFonts w:ascii="Cambria" w:hAnsi="Cambria" w:cs="Arial CE"/>
                <w:strike/>
                <w:sz w:val="28"/>
                <w:szCs w:val="28"/>
              </w:rPr>
              <w:t>D</w:t>
            </w:r>
          </w:p>
        </w:tc>
        <w:tc>
          <w:tcPr>
            <w:tcW w:w="10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A3E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  <w:r w:rsidRPr="009C732F">
              <w:rPr>
                <w:rFonts w:ascii="Cambria" w:hAnsi="Cambria" w:cs="Arial CE"/>
                <w:strike/>
                <w:sz w:val="28"/>
                <w:szCs w:val="28"/>
              </w:rPr>
              <w:t>E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71B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0"/>
              </w:rPr>
            </w:pPr>
            <w:r w:rsidRPr="009C732F">
              <w:rPr>
                <w:rFonts w:ascii="Calibri" w:hAnsi="Calibri" w:cs="Calibri"/>
                <w:sz w:val="20"/>
              </w:rPr>
              <w:t>nehodící se škrtněte</w:t>
            </w:r>
          </w:p>
        </w:tc>
        <w:tc>
          <w:tcPr>
            <w:tcW w:w="49" w:type="pct"/>
            <w:vAlign w:val="center"/>
            <w:hideMark/>
          </w:tcPr>
          <w:p w14:paraId="5CCC89B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4BF390F2" w14:textId="77777777" w:rsidTr="009C732F">
        <w:trPr>
          <w:trHeight w:val="390"/>
        </w:trPr>
        <w:tc>
          <w:tcPr>
            <w:tcW w:w="10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CEE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Zařazení změnového listu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5F6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C732F">
              <w:rPr>
                <w:rFonts w:ascii="Calibri" w:hAnsi="Calibri" w:cs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D188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30DF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b/>
                <w:bCs/>
                <w:sz w:val="28"/>
                <w:szCs w:val="28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CBB6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DB74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</w:p>
        </w:tc>
        <w:tc>
          <w:tcPr>
            <w:tcW w:w="10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E0C5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549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7E638BB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0D055B8" w14:textId="77777777" w:rsidTr="009C732F">
        <w:trPr>
          <w:trHeight w:val="300"/>
        </w:trPr>
        <w:tc>
          <w:tcPr>
            <w:tcW w:w="10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66D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NAVRHUJE:</w:t>
            </w:r>
          </w:p>
        </w:tc>
        <w:tc>
          <w:tcPr>
            <w:tcW w:w="3941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2E2A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Ředitelství vodních cest ČR</w:t>
            </w:r>
          </w:p>
        </w:tc>
        <w:tc>
          <w:tcPr>
            <w:tcW w:w="49" w:type="pct"/>
            <w:vAlign w:val="center"/>
            <w:hideMark/>
          </w:tcPr>
          <w:p w14:paraId="3D4F287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2B75820" w14:textId="77777777" w:rsidTr="009C732F">
        <w:trPr>
          <w:trHeight w:val="300"/>
        </w:trPr>
        <w:tc>
          <w:tcPr>
            <w:tcW w:w="10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752A5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41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54149" w14:textId="2D1D6CFC" w:rsidR="009C732F" w:rsidRPr="009C732F" w:rsidRDefault="005066BC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5066BC">
              <w:rPr>
                <w:rFonts w:ascii="Calibri" w:hAnsi="Calibri" w:cs="Calibri"/>
                <w:i/>
                <w:iCs/>
                <w:sz w:val="20"/>
              </w:rPr>
              <w:t>XXXXXXXXXXXX</w:t>
            </w:r>
          </w:p>
        </w:tc>
        <w:tc>
          <w:tcPr>
            <w:tcW w:w="49" w:type="pct"/>
            <w:vAlign w:val="center"/>
            <w:hideMark/>
          </w:tcPr>
          <w:p w14:paraId="2606820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168F173E" w14:textId="77777777" w:rsidTr="009C732F">
        <w:trPr>
          <w:trHeight w:val="353"/>
        </w:trPr>
        <w:tc>
          <w:tcPr>
            <w:tcW w:w="15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C10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PŘEDMĚT SPECIFIKACE:</w:t>
            </w:r>
          </w:p>
        </w:tc>
        <w:tc>
          <w:tcPr>
            <w:tcW w:w="3421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7127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Při vyhodnocování provozních potřeb byly Kupujícím identifikovány následující potřebné změny oproti specifikaci předmětu dodávky vymezené Přílohou č. 1 Kupní smlouvy:</w:t>
            </w: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 xml:space="preserve">- změna běžného radaru užívaného na malých plavidlech ve spojení s prohlížečem map </w:t>
            </w:r>
            <w:proofErr w:type="spellStart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Inland</w:t>
            </w:r>
            <w:proofErr w:type="spellEnd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ECDIS za certifikovaný radar pro použití na plavidlech jiných než malých pro plavbu pomocí radaru s elektronickou plavební mapou </w:t>
            </w:r>
            <w:proofErr w:type="spellStart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Inland</w:t>
            </w:r>
            <w:proofErr w:type="spellEnd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ECDIS v navigačním módu, jehož funkčnost ve spojení s RIS daty distribuovanými </w:t>
            </w:r>
            <w:proofErr w:type="spellStart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prostřednioctvím</w:t>
            </w:r>
            <w:proofErr w:type="spellEnd"/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ŘVC ČR bude při provozu inspekčního plavidla ověřována. Pro bezpečnou plavbu je kritické zpracování právě certifikovaným radarem, kdy při omezené viditelnosti je vůdce plavidla odkázán jen na data z radaru a RIS. Obdobně budou s certifikovaným radarem propojovány technologie autonomního řízení.</w:t>
            </w: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- změna podchozí výšky, která nebyla v zadání přesně specifikována, v prostoru kormidelny na 2,0 m, umožňující pohodlný pohyb a práci posádky a cestujících během plavby</w:t>
            </w: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- doplnění druhé radiostanice oproti zadání, vedoucí k ovládání plavidla během plavby srovnatelném s ovládáním plavidel jiných než malých (např. pro účely ověřování funkčností užívání RIS i autonomního řízení), umožňující plynulou komunikaci s ostatními účastníky plavebního provozu</w:t>
            </w:r>
          </w:p>
        </w:tc>
        <w:tc>
          <w:tcPr>
            <w:tcW w:w="49" w:type="pct"/>
            <w:vAlign w:val="center"/>
            <w:hideMark/>
          </w:tcPr>
          <w:p w14:paraId="339C846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7496ABA4" w14:textId="77777777" w:rsidTr="009C732F">
        <w:trPr>
          <w:trHeight w:val="4557"/>
        </w:trPr>
        <w:tc>
          <w:tcPr>
            <w:tcW w:w="15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5A2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21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3D44B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A23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9C732F" w:rsidRPr="009C732F" w14:paraId="1E035659" w14:textId="77777777" w:rsidTr="009C732F">
        <w:trPr>
          <w:trHeight w:val="327"/>
        </w:trPr>
        <w:tc>
          <w:tcPr>
            <w:tcW w:w="15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964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REFERENČNÍ DOKUMENTACE:</w:t>
            </w:r>
          </w:p>
        </w:tc>
        <w:tc>
          <w:tcPr>
            <w:tcW w:w="3421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A258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>kalkulace změny ze strany prodávajícího obdržená 27.3.2023 č.j. ŘVC/613/2020/OSE-5 JID: RVCCR-eO-D2301700 včetně doložených kupních cen zařízení účetními doklady.</w:t>
            </w:r>
          </w:p>
        </w:tc>
        <w:tc>
          <w:tcPr>
            <w:tcW w:w="49" w:type="pct"/>
            <w:vAlign w:val="center"/>
            <w:hideMark/>
          </w:tcPr>
          <w:p w14:paraId="4BAF455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E79ACB0" w14:textId="77777777" w:rsidTr="009C732F">
        <w:trPr>
          <w:trHeight w:val="390"/>
        </w:trPr>
        <w:tc>
          <w:tcPr>
            <w:tcW w:w="15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145BF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21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18DF1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5F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9C732F" w:rsidRPr="009C732F" w14:paraId="02ED3DA4" w14:textId="77777777" w:rsidTr="009C732F">
        <w:trPr>
          <w:trHeight w:val="732"/>
        </w:trPr>
        <w:tc>
          <w:tcPr>
            <w:tcW w:w="15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2941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POPIS A ZDŮVODNĚNÍ ZMĚNY</w:t>
            </w:r>
          </w:p>
        </w:tc>
        <w:tc>
          <w:tcPr>
            <w:tcW w:w="219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4F1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Datum zjištění změny</w:t>
            </w:r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F4362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01.12.2022</w:t>
            </w:r>
          </w:p>
        </w:tc>
        <w:tc>
          <w:tcPr>
            <w:tcW w:w="49" w:type="pct"/>
            <w:vAlign w:val="center"/>
            <w:hideMark/>
          </w:tcPr>
          <w:p w14:paraId="3128BD2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1B4DA28" w14:textId="77777777" w:rsidTr="009C732F">
        <w:trPr>
          <w:trHeight w:val="1943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262601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  <w:u w:val="single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  <w:u w:val="single"/>
              </w:rPr>
              <w:lastRenderedPageBreak/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9C732F">
              <w:rPr>
                <w:rFonts w:ascii="Calibri" w:hAnsi="Calibri" w:cs="Calibri"/>
                <w:sz w:val="20"/>
              </w:rPr>
              <w:t xml:space="preserve">V průběhu zadávacího řízení docházelo k nezávislému testování různých technologií prohlížečů </w:t>
            </w:r>
            <w:proofErr w:type="spellStart"/>
            <w:r w:rsidRPr="009C732F">
              <w:rPr>
                <w:rFonts w:ascii="Calibri" w:hAnsi="Calibri" w:cs="Calibri"/>
                <w:sz w:val="20"/>
              </w:rPr>
              <w:t>Inland</w:t>
            </w:r>
            <w:proofErr w:type="spellEnd"/>
            <w:r w:rsidRPr="009C732F">
              <w:rPr>
                <w:rFonts w:ascii="Calibri" w:hAnsi="Calibri" w:cs="Calibri"/>
                <w:sz w:val="20"/>
              </w:rPr>
              <w:t xml:space="preserve"> ECDIS ve spojení s radarem a AIS, kdy byla identifikována vyšší potřeba ověřování certifikovaného provedení radaru, jež spolu vede k odlišnému provedení nosných konstrukcí antény i návaznosti na jiné technologie např. </w:t>
            </w:r>
            <w:proofErr w:type="spellStart"/>
            <w:r w:rsidRPr="009C732F">
              <w:rPr>
                <w:rFonts w:ascii="Calibri" w:hAnsi="Calibri" w:cs="Calibri"/>
                <w:sz w:val="20"/>
              </w:rPr>
              <w:t>výchylkoměru</w:t>
            </w:r>
            <w:proofErr w:type="spellEnd"/>
            <w:r w:rsidRPr="009C732F">
              <w:rPr>
                <w:rFonts w:ascii="Calibri" w:hAnsi="Calibri" w:cs="Calibri"/>
                <w:sz w:val="20"/>
              </w:rPr>
              <w:t xml:space="preserve">. Při přípravě zadání nebyl podrobněji vymezen parametr podchozí výšky, přičemž prodávající navrženým řešením plavidla splnil původní zadání. Rovněž potřeba doplnění druhé radiostanice vyplynula až v průběhu stavby plavidla. Tato zařízení musí být instalována současně se stavbou plavidla a nejsou tak oddělitelná od předmětu plnění a nutná pro dokončení plavidla plnícího zadání kupujícího. Termín dodání se nemění. </w:t>
            </w:r>
          </w:p>
        </w:tc>
        <w:tc>
          <w:tcPr>
            <w:tcW w:w="49" w:type="pct"/>
            <w:vAlign w:val="center"/>
            <w:hideMark/>
          </w:tcPr>
          <w:p w14:paraId="730D564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1A00E730" w14:textId="77777777" w:rsidTr="009C732F">
        <w:trPr>
          <w:trHeight w:val="795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222190E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t>ZMĚNA SMLOUVY NENÍ PODSTATNOU ZMĚNOU TJ. SPADÁ POD JEDEN Z BODŮ A-</w:t>
            </w:r>
            <w:proofErr w:type="gramStart"/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E </w:t>
            </w:r>
            <w:r w:rsidRPr="009C732F">
              <w:rPr>
                <w:rFonts w:ascii="Calibri" w:hAnsi="Calibri" w:cs="Calibri"/>
                <w:sz w:val="20"/>
              </w:rPr>
              <w:t xml:space="preserve"> (</w:t>
            </w:r>
            <w:proofErr w:type="gramEnd"/>
            <w:r w:rsidRPr="009C732F">
              <w:rPr>
                <w:rFonts w:ascii="Calibri" w:hAnsi="Calibri" w:cs="Calibri"/>
                <w:sz w:val="20"/>
              </w:rPr>
              <w:t xml:space="preserve">nevztahuje se na ní odstavec  3 článku 40 Směrnice č.S-11/2016 o oběhu smluv a o </w:t>
            </w:r>
            <w:proofErr w:type="spellStart"/>
            <w:r w:rsidRPr="009C732F">
              <w:rPr>
                <w:rFonts w:ascii="Calibri" w:hAnsi="Calibri" w:cs="Calibri"/>
                <w:sz w:val="20"/>
              </w:rPr>
              <w:t>zádávání</w:t>
            </w:r>
            <w:proofErr w:type="spellEnd"/>
            <w:r w:rsidRPr="009C732F">
              <w:rPr>
                <w:rFonts w:ascii="Calibri" w:hAnsi="Calibri" w:cs="Calibri"/>
                <w:sz w:val="20"/>
              </w:rPr>
              <w:t xml:space="preserve"> veřejných zakázek Ředitelství vodních cest ČR) Verze 1.0</w:t>
            </w:r>
          </w:p>
        </w:tc>
        <w:tc>
          <w:tcPr>
            <w:tcW w:w="49" w:type="pct"/>
            <w:vAlign w:val="center"/>
            <w:hideMark/>
          </w:tcPr>
          <w:p w14:paraId="212816D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6F32D06" w14:textId="77777777" w:rsidTr="009C732F">
        <w:trPr>
          <w:trHeight w:val="732"/>
        </w:trPr>
        <w:tc>
          <w:tcPr>
            <w:tcW w:w="495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B1CEF1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49" w:type="pct"/>
            <w:vAlign w:val="center"/>
            <w:hideMark/>
          </w:tcPr>
          <w:p w14:paraId="535CB75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783E2DB" w14:textId="77777777" w:rsidTr="009C732F">
        <w:trPr>
          <w:trHeight w:val="979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13088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t>: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Není relevantní  </w:t>
            </w:r>
          </w:p>
        </w:tc>
        <w:tc>
          <w:tcPr>
            <w:tcW w:w="49" w:type="pct"/>
            <w:vAlign w:val="center"/>
            <w:hideMark/>
          </w:tcPr>
          <w:p w14:paraId="273B42F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55EE4B37" w14:textId="77777777" w:rsidTr="009C732F">
        <w:trPr>
          <w:trHeight w:val="990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A2B418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9C732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Finanční objem změny ve výši nárůstu o 1 721 958,85 Kč bez DPH představuje 9,57 % původní hodnoty veřejné zakázky                                                           </w:t>
            </w:r>
          </w:p>
        </w:tc>
        <w:tc>
          <w:tcPr>
            <w:tcW w:w="49" w:type="pct"/>
            <w:vAlign w:val="center"/>
            <w:hideMark/>
          </w:tcPr>
          <w:p w14:paraId="41E3A99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F113D0D" w14:textId="77777777" w:rsidTr="009C732F">
        <w:trPr>
          <w:trHeight w:val="623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C867C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" w:type="pct"/>
            <w:vAlign w:val="center"/>
            <w:hideMark/>
          </w:tcPr>
          <w:p w14:paraId="70412AB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40E0082A" w14:textId="77777777" w:rsidTr="009C732F">
        <w:trPr>
          <w:trHeight w:val="402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5FCB9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a) není možná z ekonomických nebo technických důvodů -   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Není relevantní  </w:t>
            </w:r>
          </w:p>
        </w:tc>
        <w:tc>
          <w:tcPr>
            <w:tcW w:w="49" w:type="pct"/>
            <w:vAlign w:val="center"/>
            <w:hideMark/>
          </w:tcPr>
          <w:p w14:paraId="2D12AF6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DB5AFC9" w14:textId="77777777" w:rsidTr="009C732F">
        <w:trPr>
          <w:trHeight w:val="402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A615D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b) by zadavateli způsobila značné obtíže nebo výrazné zvýšení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nákladů </w:t>
            </w:r>
            <w:r w:rsidRPr="009C732F">
              <w:rPr>
                <w:rFonts w:ascii="Calibri" w:hAnsi="Calibri" w:cs="Calibri"/>
                <w:sz w:val="20"/>
              </w:rPr>
              <w:t xml:space="preserve"> -</w:t>
            </w:r>
            <w:proofErr w:type="gramEnd"/>
            <w:r w:rsidRPr="009C732F">
              <w:rPr>
                <w:rFonts w:ascii="Calibri" w:hAnsi="Calibri" w:cs="Calibri"/>
                <w:sz w:val="20"/>
              </w:rPr>
              <w:t xml:space="preserve">   Není relevantní  </w:t>
            </w:r>
          </w:p>
        </w:tc>
        <w:tc>
          <w:tcPr>
            <w:tcW w:w="49" w:type="pct"/>
            <w:vAlign w:val="center"/>
            <w:hideMark/>
          </w:tcPr>
          <w:p w14:paraId="17A19AA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BBB5568" w14:textId="77777777" w:rsidTr="009C732F">
        <w:trPr>
          <w:trHeight w:val="402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258CA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c) hodnota dodatečných stavebních prací / služeb nepřekročí 50 % původní hodnoty závazku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-  </w:t>
            </w:r>
            <w:r w:rsidRPr="009C732F">
              <w:rPr>
                <w:rFonts w:ascii="Calibri" w:hAnsi="Calibri" w:cs="Calibri"/>
                <w:sz w:val="20"/>
              </w:rPr>
              <w:t>Není</w:t>
            </w:r>
            <w:proofErr w:type="gramEnd"/>
            <w:r w:rsidRPr="009C732F">
              <w:rPr>
                <w:rFonts w:ascii="Calibri" w:hAnsi="Calibri" w:cs="Calibri"/>
                <w:sz w:val="20"/>
              </w:rPr>
              <w:t xml:space="preserve"> relevantní 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              </w:t>
            </w:r>
          </w:p>
        </w:tc>
        <w:tc>
          <w:tcPr>
            <w:tcW w:w="49" w:type="pct"/>
            <w:vAlign w:val="center"/>
            <w:hideMark/>
          </w:tcPr>
          <w:p w14:paraId="7192E72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0C0DFA6" w14:textId="77777777" w:rsidTr="009C732F">
        <w:trPr>
          <w:trHeight w:val="398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C8492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 Nejde o podstatnou změnu závazku, neboť:</w:t>
            </w:r>
          </w:p>
        </w:tc>
        <w:tc>
          <w:tcPr>
            <w:tcW w:w="49" w:type="pct"/>
            <w:vAlign w:val="center"/>
            <w:hideMark/>
          </w:tcPr>
          <w:p w14:paraId="3AAA425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712339A2" w14:textId="77777777" w:rsidTr="009C732F">
        <w:trPr>
          <w:trHeight w:val="495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50B26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a) potřeba změny vznikla v důsledku okolností, které zadavatel jednající s náležitou péčí nemohl předvídat -   </w:t>
            </w: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49" w:type="pct"/>
            <w:vAlign w:val="center"/>
            <w:hideMark/>
          </w:tcPr>
          <w:p w14:paraId="1CD9F89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35AECA9" w14:textId="77777777" w:rsidTr="009C732F">
        <w:trPr>
          <w:trHeight w:val="450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66E83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b) nemění celkovou povahu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zakázky -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>Není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relevantní      </w:t>
            </w: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     </w:t>
            </w:r>
          </w:p>
        </w:tc>
        <w:tc>
          <w:tcPr>
            <w:tcW w:w="49" w:type="pct"/>
            <w:vAlign w:val="center"/>
            <w:hideMark/>
          </w:tcPr>
          <w:p w14:paraId="59E6B92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1F0452B4" w14:textId="77777777" w:rsidTr="009C732F">
        <w:trPr>
          <w:trHeight w:val="570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35C5C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>závazku-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Není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relevantní      </w:t>
            </w:r>
            <w:r w:rsidRPr="009C732F">
              <w:rPr>
                <w:rFonts w:ascii="Calibri" w:hAnsi="Calibri" w:cs="Calibri"/>
                <w:b/>
                <w:bCs/>
                <w:i/>
                <w:iCs/>
                <w:sz w:val="20"/>
              </w:rPr>
              <w:br/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" w:type="pct"/>
            <w:vAlign w:val="center"/>
            <w:hideMark/>
          </w:tcPr>
          <w:p w14:paraId="73F1D1A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E6352CF" w14:textId="77777777" w:rsidTr="009C732F">
        <w:trPr>
          <w:trHeight w:val="529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E579D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49" w:type="pct"/>
            <w:vAlign w:val="center"/>
            <w:hideMark/>
          </w:tcPr>
          <w:p w14:paraId="1580EF2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74F47CC8" w14:textId="77777777" w:rsidTr="009C732F">
        <w:trPr>
          <w:trHeight w:val="690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6C860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a) nové položky soupisu stavebních prací představují srovnatelný druh materiálu nebo prací ve vztahu k nahrazovaným položkám -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        Není relevantní      </w:t>
            </w:r>
          </w:p>
        </w:tc>
        <w:tc>
          <w:tcPr>
            <w:tcW w:w="49" w:type="pct"/>
            <w:vAlign w:val="center"/>
            <w:hideMark/>
          </w:tcPr>
          <w:p w14:paraId="455F52B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15A9DD4" w14:textId="77777777" w:rsidTr="009C732F">
        <w:trPr>
          <w:trHeight w:val="630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640A1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- 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>Není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relevantní      </w:t>
            </w:r>
          </w:p>
        </w:tc>
        <w:tc>
          <w:tcPr>
            <w:tcW w:w="49" w:type="pct"/>
            <w:vAlign w:val="center"/>
            <w:hideMark/>
          </w:tcPr>
          <w:p w14:paraId="32E4749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3A532FF" w14:textId="77777777" w:rsidTr="009C732F">
        <w:trPr>
          <w:trHeight w:val="660"/>
        </w:trPr>
        <w:tc>
          <w:tcPr>
            <w:tcW w:w="4951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658BF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0"/>
              </w:rPr>
              <w:t xml:space="preserve">vyšší -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>Není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 relevantní      </w:t>
            </w:r>
          </w:p>
        </w:tc>
        <w:tc>
          <w:tcPr>
            <w:tcW w:w="49" w:type="pct"/>
            <w:vAlign w:val="center"/>
            <w:hideMark/>
          </w:tcPr>
          <w:p w14:paraId="2EB7FE5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63E9CBF" w14:textId="77777777" w:rsidTr="009C732F">
        <w:trPr>
          <w:trHeight w:val="1170"/>
        </w:trPr>
        <w:tc>
          <w:tcPr>
            <w:tcW w:w="4951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3A24B9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  <w:r w:rsidRPr="009C732F">
              <w:rPr>
                <w:rFonts w:ascii="Calibri" w:hAnsi="Calibri" w:cs="Calibri"/>
                <w:b/>
                <w:bCs/>
                <w:sz w:val="20"/>
              </w:rPr>
              <w:t>d) zadavatel vyhotoví o každé jednotlivé záměně přehled obsahující nové položky</w:t>
            </w:r>
            <w:r w:rsidRPr="009C732F">
              <w:rPr>
                <w:rFonts w:ascii="Calibri" w:hAnsi="Calibri" w:cs="Calibri"/>
                <w:b/>
                <w:bCs/>
                <w:sz w:val="20"/>
              </w:rPr>
              <w:br/>
              <w:t>soupisu stavebních prací s vymezením položek v původním soupisu stavebních</w:t>
            </w:r>
            <w:r w:rsidRPr="009C732F">
              <w:rPr>
                <w:rFonts w:ascii="Calibri" w:hAnsi="Calibri" w:cs="Calibri"/>
                <w:b/>
                <w:bCs/>
                <w:sz w:val="20"/>
              </w:rPr>
              <w:br/>
              <w:t>prací, které jsou takto nahrazovány, spolu s podrobným a srozumitelným</w:t>
            </w:r>
            <w:r w:rsidRPr="009C732F">
              <w:rPr>
                <w:rFonts w:ascii="Calibri" w:hAnsi="Calibri" w:cs="Calibri"/>
                <w:b/>
                <w:bCs/>
                <w:sz w:val="20"/>
              </w:rPr>
              <w:br/>
              <w:t xml:space="preserve">odůvodněním srovnatelnosti materiálu nebo prací a stejné nebo vyšší kvality -  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49" w:type="pct"/>
            <w:vAlign w:val="center"/>
            <w:hideMark/>
          </w:tcPr>
          <w:p w14:paraId="143AFE6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425FFC63" w14:textId="77777777" w:rsidTr="009C732F">
        <w:trPr>
          <w:trHeight w:val="225"/>
        </w:trPr>
        <w:tc>
          <w:tcPr>
            <w:tcW w:w="4951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10115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360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C732F" w:rsidRPr="009C732F" w14:paraId="5833DDE1" w14:textId="77777777" w:rsidTr="009C732F">
        <w:trPr>
          <w:trHeight w:val="270"/>
        </w:trPr>
        <w:tc>
          <w:tcPr>
            <w:tcW w:w="101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623FFF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VLIV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NA  CENU</w:t>
            </w:r>
            <w:proofErr w:type="gramEnd"/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(ceny jsou uváděny bez DPH)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E1845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mbria" w:hAnsi="Cambria" w:cs="Arial CE"/>
                <w:sz w:val="20"/>
              </w:rPr>
            </w:pPr>
            <w:r w:rsidRPr="009C732F">
              <w:rPr>
                <w:rFonts w:ascii="Cambria" w:hAnsi="Cambria" w:cs="Arial CE"/>
                <w:strike/>
                <w:sz w:val="20"/>
              </w:rPr>
              <w:t>ANO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5C1A4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mbria" w:hAnsi="Cambria" w:cs="Arial CE"/>
                <w:b/>
                <w:bCs/>
                <w:sz w:val="20"/>
              </w:rPr>
            </w:pPr>
            <w:r w:rsidRPr="009C732F">
              <w:rPr>
                <w:rFonts w:ascii="Cambria" w:hAnsi="Cambria" w:cs="Arial CE"/>
                <w:b/>
                <w:bCs/>
                <w:sz w:val="20"/>
              </w:rPr>
              <w:t>NE</w:t>
            </w:r>
          </w:p>
        </w:tc>
        <w:tc>
          <w:tcPr>
            <w:tcW w:w="2692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2A1B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Časový vliv na termín dokončení díla:</w:t>
            </w:r>
          </w:p>
        </w:tc>
        <w:tc>
          <w:tcPr>
            <w:tcW w:w="49" w:type="pct"/>
            <w:vAlign w:val="center"/>
            <w:hideMark/>
          </w:tcPr>
          <w:p w14:paraId="1E12F45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8CC44D8" w14:textId="77777777" w:rsidTr="009C732F">
        <w:trPr>
          <w:trHeight w:val="255"/>
        </w:trPr>
        <w:tc>
          <w:tcPr>
            <w:tcW w:w="101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D3F6C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AE00C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0"/>
              </w:rPr>
            </w:pPr>
          </w:p>
        </w:tc>
        <w:tc>
          <w:tcPr>
            <w:tcW w:w="72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1F5F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b/>
                <w:bCs/>
                <w:sz w:val="20"/>
              </w:rPr>
            </w:pPr>
          </w:p>
        </w:tc>
        <w:tc>
          <w:tcPr>
            <w:tcW w:w="269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25ECB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A04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732F" w:rsidRPr="009C732F" w14:paraId="29FE9609" w14:textId="77777777" w:rsidTr="009C732F">
        <w:trPr>
          <w:trHeight w:val="360"/>
        </w:trPr>
        <w:tc>
          <w:tcPr>
            <w:tcW w:w="101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79DAC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CAC2A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sz w:val="20"/>
              </w:rPr>
            </w:pPr>
          </w:p>
        </w:tc>
        <w:tc>
          <w:tcPr>
            <w:tcW w:w="729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99F7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mbria" w:hAnsi="Cambria" w:cs="Arial CE"/>
                <w:b/>
                <w:bCs/>
                <w:sz w:val="20"/>
              </w:rPr>
            </w:pPr>
          </w:p>
        </w:tc>
        <w:tc>
          <w:tcPr>
            <w:tcW w:w="269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841B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Termín plnění se nemění</w:t>
            </w:r>
          </w:p>
        </w:tc>
        <w:tc>
          <w:tcPr>
            <w:tcW w:w="49" w:type="pct"/>
            <w:vAlign w:val="center"/>
            <w:hideMark/>
          </w:tcPr>
          <w:p w14:paraId="0B4D27D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13ECD8CE" w14:textId="77777777" w:rsidTr="009C732F">
        <w:trPr>
          <w:trHeight w:val="480"/>
        </w:trPr>
        <w:tc>
          <w:tcPr>
            <w:tcW w:w="15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A7D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Cena </w:t>
            </w:r>
            <w:proofErr w:type="spellStart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>SoD</w:t>
            </w:r>
            <w:proofErr w:type="spellEnd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před změnou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8E0E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Arial CE" w:hAnsi="Arial CE" w:cs="Arial CE"/>
                <w:sz w:val="20"/>
              </w:rPr>
            </w:pPr>
            <w:r w:rsidRPr="009C732F">
              <w:rPr>
                <w:rFonts w:ascii="Arial CE" w:hAnsi="Arial CE" w:cs="Arial CE"/>
                <w:sz w:val="20"/>
              </w:rPr>
              <w:t>17 988 788,88</w:t>
            </w:r>
          </w:p>
        </w:tc>
        <w:tc>
          <w:tcPr>
            <w:tcW w:w="269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7FD6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" w:type="pct"/>
            <w:vAlign w:val="center"/>
            <w:hideMark/>
          </w:tcPr>
          <w:p w14:paraId="43B1B80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B184BA5" w14:textId="77777777" w:rsidTr="009C732F">
        <w:trPr>
          <w:trHeight w:val="447"/>
        </w:trPr>
        <w:tc>
          <w:tcPr>
            <w:tcW w:w="15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138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Cena </w:t>
            </w:r>
            <w:proofErr w:type="spellStart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>SoD</w:t>
            </w:r>
            <w:proofErr w:type="spellEnd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po změně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800D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Arial CE" w:hAnsi="Arial CE" w:cs="Arial CE"/>
                <w:sz w:val="20"/>
              </w:rPr>
            </w:pPr>
            <w:r w:rsidRPr="009C732F">
              <w:rPr>
                <w:rFonts w:ascii="Arial CE" w:hAnsi="Arial CE" w:cs="Arial CE"/>
                <w:sz w:val="20"/>
              </w:rPr>
              <w:t>19 710 747,73</w:t>
            </w:r>
          </w:p>
        </w:tc>
        <w:tc>
          <w:tcPr>
            <w:tcW w:w="269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4963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" w:type="pct"/>
            <w:vAlign w:val="center"/>
            <w:hideMark/>
          </w:tcPr>
          <w:p w14:paraId="6534867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6727CC7" w14:textId="77777777" w:rsidTr="009C732F">
        <w:trPr>
          <w:trHeight w:val="492"/>
        </w:trPr>
        <w:tc>
          <w:tcPr>
            <w:tcW w:w="15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AB17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jedná se o změnu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>o  9</w:t>
            </w:r>
            <w:proofErr w:type="gramEnd"/>
            <w:r w:rsidRPr="009C732F">
              <w:rPr>
                <w:rFonts w:ascii="Calibri" w:hAnsi="Calibri" w:cs="Calibri"/>
                <w:b/>
                <w:bCs/>
                <w:sz w:val="21"/>
                <w:szCs w:val="21"/>
              </w:rPr>
              <w:t>,57 %</w:t>
            </w:r>
          </w:p>
        </w:tc>
        <w:tc>
          <w:tcPr>
            <w:tcW w:w="7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5EDE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Arial CE" w:hAnsi="Arial CE" w:cs="Arial CE"/>
                <w:sz w:val="20"/>
              </w:rPr>
            </w:pPr>
            <w:r w:rsidRPr="009C732F">
              <w:rPr>
                <w:rFonts w:ascii="Arial CE" w:hAnsi="Arial CE" w:cs="Arial CE"/>
                <w:sz w:val="20"/>
              </w:rPr>
              <w:t>1 721 958,85</w:t>
            </w:r>
          </w:p>
        </w:tc>
        <w:tc>
          <w:tcPr>
            <w:tcW w:w="269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3A29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" w:type="pct"/>
            <w:vAlign w:val="center"/>
            <w:hideMark/>
          </w:tcPr>
          <w:p w14:paraId="00902F4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C76ADC5" w14:textId="77777777" w:rsidTr="009C732F">
        <w:trPr>
          <w:trHeight w:val="469"/>
        </w:trPr>
        <w:tc>
          <w:tcPr>
            <w:tcW w:w="15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B64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VYJÁDŘENÍ TDS:</w:t>
            </w:r>
          </w:p>
        </w:tc>
        <w:tc>
          <w:tcPr>
            <w:tcW w:w="219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3E3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0EE2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17C2EFD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9D6AA3C" w14:textId="77777777" w:rsidTr="009C732F">
        <w:trPr>
          <w:trHeight w:val="480"/>
        </w:trPr>
        <w:tc>
          <w:tcPr>
            <w:tcW w:w="495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F522A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Nebyl sjednán</w:t>
            </w:r>
          </w:p>
        </w:tc>
        <w:tc>
          <w:tcPr>
            <w:tcW w:w="49" w:type="pct"/>
            <w:vAlign w:val="center"/>
            <w:hideMark/>
          </w:tcPr>
          <w:p w14:paraId="5A4024F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7FA6C21" w14:textId="77777777" w:rsidTr="009C732F">
        <w:trPr>
          <w:trHeight w:val="615"/>
        </w:trPr>
        <w:tc>
          <w:tcPr>
            <w:tcW w:w="15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BAD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VYJÁDŘENÍ ZHOTOVITELE:</w:t>
            </w:r>
          </w:p>
        </w:tc>
        <w:tc>
          <w:tcPr>
            <w:tcW w:w="219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3A99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C27F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9233D7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2BD949F" w14:textId="77777777" w:rsidTr="009C732F">
        <w:trPr>
          <w:trHeight w:val="394"/>
        </w:trPr>
        <w:tc>
          <w:tcPr>
            <w:tcW w:w="4951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12FCAA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Není relevantní      </w:t>
            </w:r>
          </w:p>
        </w:tc>
        <w:tc>
          <w:tcPr>
            <w:tcW w:w="49" w:type="pct"/>
            <w:vAlign w:val="center"/>
            <w:hideMark/>
          </w:tcPr>
          <w:p w14:paraId="6C73D4F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44CF336" w14:textId="77777777" w:rsidTr="009C732F">
        <w:trPr>
          <w:trHeight w:val="615"/>
        </w:trPr>
        <w:tc>
          <w:tcPr>
            <w:tcW w:w="495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B548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DALŠÍ VYJÁDŘENÍ (PRÁVNÍ, ROZPOČTOVÉ, ÚČASTNÍCI ŘÍZENÍ, DOTČENÉ ORGÁNY APOD.)</w:t>
            </w:r>
          </w:p>
        </w:tc>
        <w:tc>
          <w:tcPr>
            <w:tcW w:w="49" w:type="pct"/>
            <w:vAlign w:val="center"/>
            <w:hideMark/>
          </w:tcPr>
          <w:p w14:paraId="1DE6A4C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2C3FD0E1" w14:textId="77777777" w:rsidTr="009C732F">
        <w:trPr>
          <w:trHeight w:val="525"/>
        </w:trPr>
        <w:tc>
          <w:tcPr>
            <w:tcW w:w="4951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B34F0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Není relevantní      </w:t>
            </w:r>
          </w:p>
        </w:tc>
        <w:tc>
          <w:tcPr>
            <w:tcW w:w="49" w:type="pct"/>
            <w:vAlign w:val="center"/>
            <w:hideMark/>
          </w:tcPr>
          <w:p w14:paraId="39CA984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7354547C" w14:textId="77777777" w:rsidTr="009C732F">
        <w:trPr>
          <w:trHeight w:val="638"/>
        </w:trPr>
        <w:tc>
          <w:tcPr>
            <w:tcW w:w="1746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45B" w14:textId="77777777" w:rsidR="009C732F" w:rsidRPr="009C732F" w:rsidRDefault="009C732F" w:rsidP="009C732F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VYJÁDŘENÍ ZÁSTUPCE </w:t>
            </w:r>
            <w:proofErr w:type="gramStart"/>
            <w:r w:rsidRPr="009C732F">
              <w:rPr>
                <w:rFonts w:ascii="Calibri" w:hAnsi="Calibri" w:cs="Calibri"/>
                <w:b/>
                <w:bCs/>
                <w:sz w:val="22"/>
                <w:szCs w:val="22"/>
              </w:rPr>
              <w:t>OBJEDNATELE :</w:t>
            </w:r>
            <w:proofErr w:type="gramEnd"/>
          </w:p>
        </w:tc>
        <w:tc>
          <w:tcPr>
            <w:tcW w:w="3204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CEED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Změna zakázky představuje nárůst původní ceny v souladu s ZZVZ, krytý dostupným rozpočtem, tímto souhlasím se změnami dle tohoto změnového listu</w:t>
            </w:r>
          </w:p>
        </w:tc>
        <w:tc>
          <w:tcPr>
            <w:tcW w:w="49" w:type="pct"/>
            <w:vAlign w:val="center"/>
            <w:hideMark/>
          </w:tcPr>
          <w:p w14:paraId="38C4DCB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1EC0876D" w14:textId="77777777" w:rsidTr="009C732F">
        <w:trPr>
          <w:trHeight w:val="638"/>
        </w:trPr>
        <w:tc>
          <w:tcPr>
            <w:tcW w:w="17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0A7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číslo 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>smlouvy :</w:t>
            </w:r>
            <w:proofErr w:type="gramEnd"/>
            <w:r w:rsidRPr="009C732F">
              <w:rPr>
                <w:rFonts w:ascii="Calibri" w:hAnsi="Calibri" w:cs="Calibri"/>
                <w:sz w:val="20"/>
              </w:rPr>
              <w:t xml:space="preserve"> </w:t>
            </w:r>
            <w:r w:rsidRPr="009C732F">
              <w:rPr>
                <w:rFonts w:ascii="Calibri" w:hAnsi="Calibri" w:cs="Calibri"/>
                <w:i/>
                <w:iCs/>
                <w:sz w:val="20"/>
              </w:rPr>
              <w:t>S/ŘVC/061/OSE/KUP/2021</w:t>
            </w:r>
          </w:p>
        </w:tc>
        <w:tc>
          <w:tcPr>
            <w:tcW w:w="9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78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předpokládaný výdaj v Kč (s DPH)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36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Předpokládaný termín </w:t>
            </w:r>
            <w:proofErr w:type="spellStart"/>
            <w:r w:rsidRPr="009C732F">
              <w:rPr>
                <w:rFonts w:ascii="Calibri" w:hAnsi="Calibri" w:cs="Calibri"/>
                <w:i/>
                <w:iCs/>
                <w:sz w:val="20"/>
              </w:rPr>
              <w:t>úhady</w:t>
            </w:r>
            <w:proofErr w:type="spellEnd"/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CD5A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79BE90A8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9445833" w14:textId="77777777" w:rsidTr="009C732F">
        <w:trPr>
          <w:trHeight w:val="638"/>
        </w:trPr>
        <w:tc>
          <w:tcPr>
            <w:tcW w:w="174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26F4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týká se bodu: nárůst dílčího plnění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4DF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833 428,08</w:t>
            </w:r>
          </w:p>
        </w:tc>
        <w:tc>
          <w:tcPr>
            <w:tcW w:w="2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B933E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IV.23</w:t>
            </w:r>
          </w:p>
        </w:tc>
        <w:tc>
          <w:tcPr>
            <w:tcW w:w="49" w:type="pct"/>
            <w:vAlign w:val="center"/>
            <w:hideMark/>
          </w:tcPr>
          <w:p w14:paraId="1C1C6B12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6739B1C1" w14:textId="77777777" w:rsidTr="009C732F">
        <w:trPr>
          <w:trHeight w:val="638"/>
        </w:trPr>
        <w:tc>
          <w:tcPr>
            <w:tcW w:w="174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5B05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týká se bodu: nárůst závěrečné platby  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950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1 250 142,12</w:t>
            </w:r>
          </w:p>
        </w:tc>
        <w:tc>
          <w:tcPr>
            <w:tcW w:w="2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9E89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VI.23</w:t>
            </w:r>
          </w:p>
        </w:tc>
        <w:tc>
          <w:tcPr>
            <w:tcW w:w="49" w:type="pct"/>
            <w:vAlign w:val="center"/>
            <w:hideMark/>
          </w:tcPr>
          <w:p w14:paraId="4C2CA16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3766E156" w14:textId="77777777" w:rsidTr="009C732F">
        <w:trPr>
          <w:trHeight w:val="709"/>
        </w:trPr>
        <w:tc>
          <w:tcPr>
            <w:tcW w:w="244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2D2E" w14:textId="5476547A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garant 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smlouvy:  </w:t>
            </w:r>
            <w:r w:rsidR="005066BC" w:rsidRPr="005066BC">
              <w:rPr>
                <w:rFonts w:ascii="Calibri" w:hAnsi="Calibri" w:cs="Calibri"/>
                <w:i/>
                <w:iCs/>
                <w:sz w:val="20"/>
              </w:rPr>
              <w:t>XXXXXXXXXXXX</w:t>
            </w:r>
            <w:proofErr w:type="gramEnd"/>
          </w:p>
        </w:tc>
        <w:tc>
          <w:tcPr>
            <w:tcW w:w="25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2FF0C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podpis: ………………………………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>…….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  <w:tc>
          <w:tcPr>
            <w:tcW w:w="49" w:type="pct"/>
            <w:vAlign w:val="center"/>
            <w:hideMark/>
          </w:tcPr>
          <w:p w14:paraId="337F582F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47827E02" w14:textId="77777777" w:rsidTr="009C732F">
        <w:trPr>
          <w:trHeight w:val="709"/>
        </w:trPr>
        <w:tc>
          <w:tcPr>
            <w:tcW w:w="244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670E" w14:textId="73E89062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vedoucí oddělení garanta smlouvy: </w:t>
            </w:r>
            <w:r w:rsidR="005066BC" w:rsidRPr="005066BC">
              <w:rPr>
                <w:rFonts w:ascii="Calibri" w:hAnsi="Calibri" w:cs="Calibri"/>
                <w:i/>
                <w:iCs/>
                <w:sz w:val="20"/>
              </w:rPr>
              <w:t>XXXXXXXXXXXX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12A2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podpis: ………………………………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>…….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  <w:tc>
          <w:tcPr>
            <w:tcW w:w="49" w:type="pct"/>
            <w:vAlign w:val="center"/>
            <w:hideMark/>
          </w:tcPr>
          <w:p w14:paraId="173AD823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017E317E" w14:textId="77777777" w:rsidTr="009C732F">
        <w:trPr>
          <w:trHeight w:val="709"/>
        </w:trPr>
        <w:tc>
          <w:tcPr>
            <w:tcW w:w="244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F943" w14:textId="0D0ED8BA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 xml:space="preserve">vedoucí oddělení vnitřní správy, správce rozpočtu: </w:t>
            </w:r>
            <w:r w:rsidR="005066BC" w:rsidRPr="005066BC">
              <w:rPr>
                <w:rFonts w:ascii="Calibri" w:hAnsi="Calibri" w:cs="Calibri"/>
                <w:i/>
                <w:iCs/>
                <w:sz w:val="20"/>
              </w:rPr>
              <w:t>XXXXXXXXXXXX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F8276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podpis: ………………………………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>…….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  <w:tc>
          <w:tcPr>
            <w:tcW w:w="49" w:type="pct"/>
            <w:vAlign w:val="center"/>
            <w:hideMark/>
          </w:tcPr>
          <w:p w14:paraId="196CE447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  <w:tr w:rsidR="009C732F" w:rsidRPr="009C732F" w14:paraId="46BC04DF" w14:textId="77777777" w:rsidTr="009C732F">
        <w:trPr>
          <w:trHeight w:val="709"/>
        </w:trPr>
        <w:tc>
          <w:tcPr>
            <w:tcW w:w="2449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D01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ředitel: Ing. Lubomír Fojtů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5CBFB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sz w:val="20"/>
              </w:rPr>
            </w:pPr>
            <w:r w:rsidRPr="009C732F">
              <w:rPr>
                <w:rFonts w:ascii="Calibri" w:hAnsi="Calibri" w:cs="Calibri"/>
                <w:i/>
                <w:iCs/>
                <w:sz w:val="20"/>
              </w:rPr>
              <w:t>podpis: ………………………………</w:t>
            </w:r>
            <w:proofErr w:type="gramStart"/>
            <w:r w:rsidRPr="009C732F">
              <w:rPr>
                <w:rFonts w:ascii="Calibri" w:hAnsi="Calibri" w:cs="Calibri"/>
                <w:i/>
                <w:iCs/>
                <w:sz w:val="20"/>
              </w:rPr>
              <w:t>…….</w:t>
            </w:r>
            <w:proofErr w:type="gramEnd"/>
            <w:r w:rsidRPr="009C732F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  <w:tc>
          <w:tcPr>
            <w:tcW w:w="49" w:type="pct"/>
            <w:vAlign w:val="center"/>
            <w:hideMark/>
          </w:tcPr>
          <w:p w14:paraId="670F083D" w14:textId="77777777" w:rsidR="009C732F" w:rsidRPr="009C732F" w:rsidRDefault="009C732F" w:rsidP="009C732F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</w:rPr>
            </w:pPr>
          </w:p>
        </w:tc>
      </w:tr>
    </w:tbl>
    <w:p w14:paraId="73EF9307" w14:textId="2C6AC804" w:rsidR="00BD3961" w:rsidRPr="006D0A7C" w:rsidRDefault="00BD3961" w:rsidP="00BD3961">
      <w:pPr>
        <w:tabs>
          <w:tab w:val="left" w:pos="2145"/>
        </w:tabs>
        <w:rPr>
          <w:rFonts w:ascii="Times New Roman" w:hAnsi="Times New Roman"/>
          <w:sz w:val="22"/>
          <w:szCs w:val="22"/>
        </w:rPr>
      </w:pPr>
    </w:p>
    <w:sectPr w:rsidR="00BD3961" w:rsidRPr="006D0A7C" w:rsidSect="006D0A7C">
      <w:footerReference w:type="default" r:id="rId8"/>
      <w:pgSz w:w="11906" w:h="16838" w:code="9"/>
      <w:pgMar w:top="851" w:right="1134" w:bottom="71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CC57" w14:textId="77777777" w:rsidR="000319D3" w:rsidRDefault="000319D3">
      <w:r>
        <w:separator/>
      </w:r>
    </w:p>
  </w:endnote>
  <w:endnote w:type="continuationSeparator" w:id="0">
    <w:p w14:paraId="724668EB" w14:textId="77777777" w:rsidR="000319D3" w:rsidRDefault="0003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DAA5" w14:textId="77777777" w:rsidR="00B35F46" w:rsidRPr="006E625E" w:rsidRDefault="00B35F46">
    <w:pPr>
      <w:framePr w:w="9951" w:h="341" w:hSpace="141" w:wrap="around" w:vAnchor="text" w:hAnchor="text" w:y="1"/>
      <w:pBdr>
        <w:top w:val="single" w:sz="6" w:space="1" w:color="auto"/>
      </w:pBdr>
      <w:jc w:val="both"/>
      <w:rPr>
        <w:sz w:val="18"/>
        <w:szCs w:val="18"/>
      </w:rPr>
    </w:pPr>
    <w:r w:rsidRPr="006E625E">
      <w:rPr>
        <w:sz w:val="18"/>
        <w:szCs w:val="18"/>
      </w:rPr>
      <w:t xml:space="preserve">Dodatek </w:t>
    </w:r>
    <w:proofErr w:type="gramStart"/>
    <w:r w:rsidR="005D5A92" w:rsidRPr="006E625E">
      <w:rPr>
        <w:sz w:val="18"/>
        <w:szCs w:val="18"/>
      </w:rPr>
      <w:t>č</w:t>
    </w:r>
    <w:r w:rsidR="005D5A92">
      <w:rPr>
        <w:sz w:val="18"/>
        <w:szCs w:val="18"/>
      </w:rPr>
      <w:t>.</w:t>
    </w:r>
    <w:r w:rsidR="00A0259D">
      <w:rPr>
        <w:sz w:val="18"/>
        <w:szCs w:val="18"/>
      </w:rPr>
      <w:t>2</w:t>
    </w:r>
    <w:r w:rsidR="005D5A92" w:rsidRPr="006E625E">
      <w:rPr>
        <w:sz w:val="18"/>
        <w:szCs w:val="18"/>
      </w:rPr>
      <w:t xml:space="preserve">  </w:t>
    </w:r>
    <w:proofErr w:type="spellStart"/>
    <w:r w:rsidRPr="006E625E">
      <w:rPr>
        <w:sz w:val="18"/>
        <w:szCs w:val="18"/>
      </w:rPr>
      <w:t>SoD</w:t>
    </w:r>
    <w:proofErr w:type="spellEnd"/>
    <w:proofErr w:type="gramEnd"/>
    <w:r w:rsidRPr="006E625E">
      <w:rPr>
        <w:sz w:val="18"/>
        <w:szCs w:val="18"/>
      </w:rPr>
      <w:t xml:space="preserve"> č. </w:t>
    </w:r>
    <w:r w:rsidR="000845FD">
      <w:rPr>
        <w:sz w:val="18"/>
        <w:szCs w:val="18"/>
      </w:rPr>
      <w:t>S</w:t>
    </w:r>
    <w:r w:rsidR="000845FD" w:rsidRPr="000845FD">
      <w:rPr>
        <w:sz w:val="18"/>
        <w:szCs w:val="18"/>
      </w:rPr>
      <w:t>/ŘVC/061/OSE/KUP/2021</w:t>
    </w:r>
    <w:r w:rsidRPr="006E625E">
      <w:rPr>
        <w:sz w:val="18"/>
        <w:szCs w:val="18"/>
      </w:rPr>
      <w:tab/>
    </w:r>
    <w:r w:rsidR="00E46D87">
      <w:rPr>
        <w:sz w:val="18"/>
        <w:szCs w:val="18"/>
      </w:rPr>
      <w:t xml:space="preserve">             </w:t>
    </w:r>
    <w:r w:rsidRPr="006E625E">
      <w:rPr>
        <w:sz w:val="18"/>
        <w:szCs w:val="18"/>
      </w:rPr>
      <w:t xml:space="preserve">(ev. číslo </w:t>
    </w:r>
    <w:r w:rsidRPr="006E625E">
      <w:rPr>
        <w:smallCaps/>
        <w:sz w:val="18"/>
        <w:szCs w:val="18"/>
      </w:rPr>
      <w:t xml:space="preserve">smlouvy </w:t>
    </w:r>
    <w:r w:rsidR="000845FD">
      <w:rPr>
        <w:smallCaps/>
        <w:sz w:val="18"/>
        <w:szCs w:val="18"/>
      </w:rPr>
      <w:t>kupujícího</w:t>
    </w:r>
    <w:r w:rsidRPr="006E625E">
      <w:rPr>
        <w:sz w:val="18"/>
        <w:szCs w:val="18"/>
      </w:rPr>
      <w:t>)</w:t>
    </w:r>
    <w:r w:rsidR="00A53617" w:rsidRPr="006E625E">
      <w:rPr>
        <w:rFonts w:cs="Arial"/>
        <w:b/>
        <w:sz w:val="22"/>
        <w:szCs w:val="22"/>
      </w:rPr>
      <w:t xml:space="preserve"> </w:t>
    </w:r>
    <w:r w:rsidR="00A53617" w:rsidRPr="006E625E">
      <w:rPr>
        <w:rFonts w:cs="Arial"/>
        <w:b/>
        <w:sz w:val="22"/>
        <w:szCs w:val="22"/>
      </w:rPr>
      <w:tab/>
    </w:r>
    <w:r w:rsidR="00A53617" w:rsidRPr="006E625E">
      <w:rPr>
        <w:rFonts w:cs="Arial"/>
        <w:b/>
        <w:sz w:val="22"/>
        <w:szCs w:val="22"/>
      </w:rPr>
      <w:tab/>
    </w:r>
    <w:r w:rsidR="00E46D87">
      <w:rPr>
        <w:rFonts w:cs="Arial"/>
        <w:b/>
        <w:sz w:val="22"/>
        <w:szCs w:val="22"/>
      </w:rPr>
      <w:t xml:space="preserve">           </w:t>
    </w:r>
    <w:r w:rsidR="00A53617" w:rsidRPr="006E625E">
      <w:rPr>
        <w:rFonts w:cs="Arial"/>
        <w:b/>
        <w:sz w:val="22"/>
        <w:szCs w:val="22"/>
      </w:rPr>
      <w:tab/>
    </w:r>
    <w:r w:rsidR="00A53617" w:rsidRPr="006E625E">
      <w:rPr>
        <w:rFonts w:cs="Arial"/>
        <w:b/>
        <w:sz w:val="22"/>
        <w:szCs w:val="22"/>
      </w:rPr>
      <w:tab/>
    </w:r>
    <w:r w:rsidRPr="006E625E">
      <w:rPr>
        <w:sz w:val="18"/>
        <w:szCs w:val="18"/>
      </w:rPr>
      <w:t xml:space="preserve">Strana </w:t>
    </w:r>
    <w:r w:rsidRPr="006E625E">
      <w:rPr>
        <w:rStyle w:val="slostrnky"/>
        <w:sz w:val="18"/>
        <w:szCs w:val="18"/>
      </w:rPr>
      <w:fldChar w:fldCharType="begin"/>
    </w:r>
    <w:r w:rsidRPr="006E625E">
      <w:rPr>
        <w:rStyle w:val="slostrnky"/>
        <w:sz w:val="18"/>
        <w:szCs w:val="18"/>
      </w:rPr>
      <w:instrText xml:space="preserve"> PAGE </w:instrText>
    </w:r>
    <w:r w:rsidRPr="006E625E">
      <w:rPr>
        <w:rStyle w:val="slostrnky"/>
        <w:sz w:val="18"/>
        <w:szCs w:val="18"/>
      </w:rPr>
      <w:fldChar w:fldCharType="separate"/>
    </w:r>
    <w:r w:rsidR="00B36DA8">
      <w:rPr>
        <w:rStyle w:val="slostrnky"/>
        <w:noProof/>
        <w:sz w:val="18"/>
        <w:szCs w:val="18"/>
      </w:rPr>
      <w:t>2</w:t>
    </w:r>
    <w:r w:rsidRPr="006E625E">
      <w:rPr>
        <w:rStyle w:val="slostrnky"/>
        <w:sz w:val="18"/>
        <w:szCs w:val="18"/>
      </w:rPr>
      <w:fldChar w:fldCharType="end"/>
    </w:r>
    <w:r w:rsidRPr="006E625E">
      <w:rPr>
        <w:sz w:val="18"/>
        <w:szCs w:val="18"/>
      </w:rPr>
      <w:t>/</w:t>
    </w:r>
    <w:r w:rsidR="003F56CB">
      <w:rPr>
        <w:sz w:val="18"/>
        <w:szCs w:val="18"/>
      </w:rPr>
      <w:t>2</w:t>
    </w:r>
  </w:p>
  <w:p w14:paraId="5088AFFA" w14:textId="77777777" w:rsidR="00B35F46" w:rsidRPr="00BF40C5" w:rsidRDefault="00B35F46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20"/>
      </w:rPr>
    </w:pPr>
    <w:r w:rsidRPr="006E625E">
      <w:rPr>
        <w:sz w:val="18"/>
        <w:szCs w:val="18"/>
      </w:rPr>
      <w:t xml:space="preserve"> </w:t>
    </w:r>
    <w:r w:rsidRPr="006E625E">
      <w:rPr>
        <w:sz w:val="18"/>
        <w:szCs w:val="18"/>
      </w:rPr>
      <w:tab/>
    </w:r>
    <w:r w:rsidRPr="006E625E">
      <w:rPr>
        <w:sz w:val="18"/>
        <w:szCs w:val="18"/>
      </w:rPr>
      <w:tab/>
    </w:r>
    <w:r w:rsidR="00BF40C5">
      <w:rPr>
        <w:sz w:val="18"/>
        <w:szCs w:val="18"/>
      </w:rPr>
      <w:t xml:space="preserve"> </w:t>
    </w:r>
  </w:p>
  <w:p w14:paraId="26D3E0F7" w14:textId="77777777" w:rsidR="00B35F46" w:rsidRDefault="00B35F46">
    <w:pPr>
      <w:pStyle w:val="Zpat"/>
      <w:tabs>
        <w:tab w:val="clear" w:pos="9072"/>
        <w:tab w:val="right" w:pos="9900"/>
      </w:tabs>
      <w:ind w:right="-4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FE2F" w14:textId="43A33DA0" w:rsidR="009C732F" w:rsidRPr="00BF40C5" w:rsidRDefault="009C732F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20"/>
      </w:rPr>
    </w:pPr>
    <w:r w:rsidRPr="006E625E">
      <w:rPr>
        <w:sz w:val="18"/>
        <w:szCs w:val="18"/>
      </w:rPr>
      <w:tab/>
    </w:r>
    <w:r w:rsidRPr="006E625E">
      <w:rPr>
        <w:sz w:val="18"/>
        <w:szCs w:val="18"/>
      </w:rPr>
      <w:tab/>
    </w:r>
    <w:r>
      <w:rPr>
        <w:sz w:val="18"/>
        <w:szCs w:val="18"/>
      </w:rPr>
      <w:t xml:space="preserve"> </w:t>
    </w:r>
  </w:p>
  <w:p w14:paraId="2594418B" w14:textId="77777777" w:rsidR="009C732F" w:rsidRDefault="009C732F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4138" w14:textId="77777777" w:rsidR="000319D3" w:rsidRDefault="000319D3">
      <w:r>
        <w:separator/>
      </w:r>
    </w:p>
  </w:footnote>
  <w:footnote w:type="continuationSeparator" w:id="0">
    <w:p w14:paraId="63B152FD" w14:textId="77777777" w:rsidR="000319D3" w:rsidRDefault="0003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5C1"/>
    <w:multiLevelType w:val="hybridMultilevel"/>
    <w:tmpl w:val="24065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A6E59"/>
    <w:multiLevelType w:val="hybridMultilevel"/>
    <w:tmpl w:val="C61E29B6"/>
    <w:lvl w:ilvl="0" w:tplc="688E79D8">
      <w:start w:val="2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07D41FB"/>
    <w:multiLevelType w:val="hybridMultilevel"/>
    <w:tmpl w:val="D0CCC250"/>
    <w:lvl w:ilvl="0" w:tplc="A6FED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A45DB"/>
    <w:multiLevelType w:val="hybridMultilevel"/>
    <w:tmpl w:val="6E38E632"/>
    <w:lvl w:ilvl="0" w:tplc="72A23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F5B94"/>
    <w:multiLevelType w:val="multilevel"/>
    <w:tmpl w:val="88D0FFA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2E617A39"/>
    <w:multiLevelType w:val="hybridMultilevel"/>
    <w:tmpl w:val="B464E960"/>
    <w:lvl w:ilvl="0" w:tplc="5FD26A26">
      <w:start w:val="1"/>
      <w:numFmt w:val="upperRoman"/>
      <w:lvlText w:val="%1."/>
      <w:lvlJc w:val="left"/>
      <w:pPr>
        <w:tabs>
          <w:tab w:val="num" w:pos="1269"/>
        </w:tabs>
        <w:ind w:left="1269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6" w15:restartNumberingAfterBreak="0">
    <w:nsid w:val="3092117E"/>
    <w:multiLevelType w:val="hybridMultilevel"/>
    <w:tmpl w:val="BB2629A0"/>
    <w:lvl w:ilvl="0" w:tplc="50A647FC">
      <w:start w:val="1"/>
      <w:numFmt w:val="decimal"/>
      <w:lvlText w:val="%1)"/>
      <w:lvlJc w:val="left"/>
      <w:pPr>
        <w:ind w:left="1599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319" w:hanging="360"/>
      </w:pPr>
    </w:lvl>
    <w:lvl w:ilvl="2" w:tplc="0405001B" w:tentative="1">
      <w:start w:val="1"/>
      <w:numFmt w:val="lowerRoman"/>
      <w:lvlText w:val="%3."/>
      <w:lvlJc w:val="right"/>
      <w:pPr>
        <w:ind w:left="3039" w:hanging="180"/>
      </w:pPr>
    </w:lvl>
    <w:lvl w:ilvl="3" w:tplc="0405000F" w:tentative="1">
      <w:start w:val="1"/>
      <w:numFmt w:val="decimal"/>
      <w:lvlText w:val="%4."/>
      <w:lvlJc w:val="left"/>
      <w:pPr>
        <w:ind w:left="3759" w:hanging="360"/>
      </w:pPr>
    </w:lvl>
    <w:lvl w:ilvl="4" w:tplc="04050019" w:tentative="1">
      <w:start w:val="1"/>
      <w:numFmt w:val="lowerLetter"/>
      <w:lvlText w:val="%5."/>
      <w:lvlJc w:val="left"/>
      <w:pPr>
        <w:ind w:left="4479" w:hanging="360"/>
      </w:pPr>
    </w:lvl>
    <w:lvl w:ilvl="5" w:tplc="0405001B" w:tentative="1">
      <w:start w:val="1"/>
      <w:numFmt w:val="lowerRoman"/>
      <w:lvlText w:val="%6."/>
      <w:lvlJc w:val="right"/>
      <w:pPr>
        <w:ind w:left="5199" w:hanging="180"/>
      </w:pPr>
    </w:lvl>
    <w:lvl w:ilvl="6" w:tplc="0405000F" w:tentative="1">
      <w:start w:val="1"/>
      <w:numFmt w:val="decimal"/>
      <w:lvlText w:val="%7."/>
      <w:lvlJc w:val="left"/>
      <w:pPr>
        <w:ind w:left="5919" w:hanging="360"/>
      </w:pPr>
    </w:lvl>
    <w:lvl w:ilvl="7" w:tplc="04050019" w:tentative="1">
      <w:start w:val="1"/>
      <w:numFmt w:val="lowerLetter"/>
      <w:lvlText w:val="%8."/>
      <w:lvlJc w:val="left"/>
      <w:pPr>
        <w:ind w:left="6639" w:hanging="360"/>
      </w:pPr>
    </w:lvl>
    <w:lvl w:ilvl="8" w:tplc="0405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7" w15:restartNumberingAfterBreak="0">
    <w:nsid w:val="30C416B5"/>
    <w:multiLevelType w:val="hybridMultilevel"/>
    <w:tmpl w:val="C46CE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63E11"/>
    <w:multiLevelType w:val="hybridMultilevel"/>
    <w:tmpl w:val="DAC07C06"/>
    <w:lvl w:ilvl="0" w:tplc="8180881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49E429C"/>
    <w:multiLevelType w:val="hybridMultilevel"/>
    <w:tmpl w:val="35EE3DA0"/>
    <w:lvl w:ilvl="0" w:tplc="64FA63F6">
      <w:start w:val="1"/>
      <w:numFmt w:val="bullet"/>
      <w:lvlText w:val="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</w:abstractNum>
  <w:abstractNum w:abstractNumId="10" w15:restartNumberingAfterBreak="0">
    <w:nsid w:val="4018199E"/>
    <w:multiLevelType w:val="hybridMultilevel"/>
    <w:tmpl w:val="F30A8850"/>
    <w:lvl w:ilvl="0" w:tplc="3852F48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11" w15:restartNumberingAfterBreak="0">
    <w:nsid w:val="536061CC"/>
    <w:multiLevelType w:val="hybridMultilevel"/>
    <w:tmpl w:val="3984EE9C"/>
    <w:lvl w:ilvl="0" w:tplc="E83C068C">
      <w:numFmt w:val="bullet"/>
      <w:lvlText w:val="-"/>
      <w:lvlJc w:val="left"/>
      <w:pPr>
        <w:ind w:left="75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833DC"/>
    <w:multiLevelType w:val="multilevel"/>
    <w:tmpl w:val="74C65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6ACF5C4F"/>
    <w:multiLevelType w:val="hybridMultilevel"/>
    <w:tmpl w:val="1E587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3204A"/>
    <w:multiLevelType w:val="hybridMultilevel"/>
    <w:tmpl w:val="EECC85FE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14C23"/>
    <w:multiLevelType w:val="hybridMultilevel"/>
    <w:tmpl w:val="D646BD5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76307A"/>
    <w:multiLevelType w:val="hybridMultilevel"/>
    <w:tmpl w:val="2CECD8FC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027612"/>
    <w:multiLevelType w:val="hybridMultilevel"/>
    <w:tmpl w:val="35CC2358"/>
    <w:lvl w:ilvl="0" w:tplc="04050011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E08453D"/>
    <w:multiLevelType w:val="hybridMultilevel"/>
    <w:tmpl w:val="E8243834"/>
    <w:lvl w:ilvl="0" w:tplc="040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9" w15:restartNumberingAfterBreak="0">
    <w:nsid w:val="7F437884"/>
    <w:multiLevelType w:val="multilevel"/>
    <w:tmpl w:val="4BDCD04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0" w15:restartNumberingAfterBreak="0">
    <w:nsid w:val="7F967B0A"/>
    <w:multiLevelType w:val="hybridMultilevel"/>
    <w:tmpl w:val="2E3E643C"/>
    <w:lvl w:ilvl="0" w:tplc="A0F8B66E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AD02ABCA">
      <w:start w:val="1"/>
      <w:numFmt w:val="bullet"/>
      <w:lvlText w:val="-"/>
      <w:lvlJc w:val="left"/>
      <w:pPr>
        <w:tabs>
          <w:tab w:val="num" w:pos="2322"/>
        </w:tabs>
        <w:ind w:left="232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669482">
    <w:abstractNumId w:val="7"/>
  </w:num>
  <w:num w:numId="2" w16cid:durableId="1003823967">
    <w:abstractNumId w:val="16"/>
  </w:num>
  <w:num w:numId="3" w16cid:durableId="431517735">
    <w:abstractNumId w:val="14"/>
  </w:num>
  <w:num w:numId="4" w16cid:durableId="1401057143">
    <w:abstractNumId w:val="5"/>
  </w:num>
  <w:num w:numId="5" w16cid:durableId="207843350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599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018801">
    <w:abstractNumId w:val="17"/>
  </w:num>
  <w:num w:numId="8" w16cid:durableId="6295917">
    <w:abstractNumId w:val="3"/>
  </w:num>
  <w:num w:numId="9" w16cid:durableId="753164024">
    <w:abstractNumId w:val="1"/>
  </w:num>
  <w:num w:numId="10" w16cid:durableId="391084448">
    <w:abstractNumId w:val="10"/>
  </w:num>
  <w:num w:numId="11" w16cid:durableId="1290939109">
    <w:abstractNumId w:val="12"/>
  </w:num>
  <w:num w:numId="12" w16cid:durableId="1431393505">
    <w:abstractNumId w:val="4"/>
  </w:num>
  <w:num w:numId="13" w16cid:durableId="83458680">
    <w:abstractNumId w:val="8"/>
  </w:num>
  <w:num w:numId="14" w16cid:durableId="787236608">
    <w:abstractNumId w:val="6"/>
  </w:num>
  <w:num w:numId="15" w16cid:durableId="58404332">
    <w:abstractNumId w:val="0"/>
  </w:num>
  <w:num w:numId="16" w16cid:durableId="1691176879">
    <w:abstractNumId w:val="13"/>
  </w:num>
  <w:num w:numId="17" w16cid:durableId="1116216575">
    <w:abstractNumId w:val="15"/>
  </w:num>
  <w:num w:numId="18" w16cid:durableId="279459913">
    <w:abstractNumId w:val="9"/>
  </w:num>
  <w:num w:numId="19" w16cid:durableId="234560359">
    <w:abstractNumId w:val="18"/>
  </w:num>
  <w:num w:numId="20" w16cid:durableId="1957563528">
    <w:abstractNumId w:val="11"/>
  </w:num>
  <w:num w:numId="21" w16cid:durableId="185914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C"/>
    <w:rsid w:val="00007AAC"/>
    <w:rsid w:val="00012534"/>
    <w:rsid w:val="00020F93"/>
    <w:rsid w:val="000222A4"/>
    <w:rsid w:val="0002731A"/>
    <w:rsid w:val="000304CB"/>
    <w:rsid w:val="000319D3"/>
    <w:rsid w:val="00034FE8"/>
    <w:rsid w:val="00040A12"/>
    <w:rsid w:val="00042417"/>
    <w:rsid w:val="00047278"/>
    <w:rsid w:val="0005124E"/>
    <w:rsid w:val="00053FBB"/>
    <w:rsid w:val="0006234E"/>
    <w:rsid w:val="00063177"/>
    <w:rsid w:val="00070ECD"/>
    <w:rsid w:val="00075DEE"/>
    <w:rsid w:val="000845FD"/>
    <w:rsid w:val="0009359D"/>
    <w:rsid w:val="00096D21"/>
    <w:rsid w:val="000A29A7"/>
    <w:rsid w:val="000A4BCD"/>
    <w:rsid w:val="000A6CF3"/>
    <w:rsid w:val="000B1645"/>
    <w:rsid w:val="000B4FD3"/>
    <w:rsid w:val="000B7095"/>
    <w:rsid w:val="000C6DA1"/>
    <w:rsid w:val="000C7C69"/>
    <w:rsid w:val="000D029F"/>
    <w:rsid w:val="000D39D5"/>
    <w:rsid w:val="000E276F"/>
    <w:rsid w:val="000E6F50"/>
    <w:rsid w:val="000E722F"/>
    <w:rsid w:val="000F550F"/>
    <w:rsid w:val="00115246"/>
    <w:rsid w:val="00115368"/>
    <w:rsid w:val="00116102"/>
    <w:rsid w:val="001279E2"/>
    <w:rsid w:val="00127EE1"/>
    <w:rsid w:val="001309F1"/>
    <w:rsid w:val="00137CDA"/>
    <w:rsid w:val="001403BB"/>
    <w:rsid w:val="00141E1F"/>
    <w:rsid w:val="00144CBC"/>
    <w:rsid w:val="0014644E"/>
    <w:rsid w:val="001512B1"/>
    <w:rsid w:val="00155BE3"/>
    <w:rsid w:val="001566B9"/>
    <w:rsid w:val="00161002"/>
    <w:rsid w:val="0016186C"/>
    <w:rsid w:val="001641B1"/>
    <w:rsid w:val="00164841"/>
    <w:rsid w:val="00167990"/>
    <w:rsid w:val="00167BD2"/>
    <w:rsid w:val="001738E8"/>
    <w:rsid w:val="00186177"/>
    <w:rsid w:val="00191EA7"/>
    <w:rsid w:val="00193590"/>
    <w:rsid w:val="00194EB6"/>
    <w:rsid w:val="0019730E"/>
    <w:rsid w:val="001A33A2"/>
    <w:rsid w:val="001A5D2E"/>
    <w:rsid w:val="001B52E1"/>
    <w:rsid w:val="001B7020"/>
    <w:rsid w:val="001C3D4E"/>
    <w:rsid w:val="001D055B"/>
    <w:rsid w:val="001D0916"/>
    <w:rsid w:val="001D1458"/>
    <w:rsid w:val="001D2731"/>
    <w:rsid w:val="001D3A71"/>
    <w:rsid w:val="001E29C1"/>
    <w:rsid w:val="001E6AB5"/>
    <w:rsid w:val="001E6EDD"/>
    <w:rsid w:val="001E723C"/>
    <w:rsid w:val="001F55FC"/>
    <w:rsid w:val="002000FC"/>
    <w:rsid w:val="00202113"/>
    <w:rsid w:val="00202447"/>
    <w:rsid w:val="002066F3"/>
    <w:rsid w:val="00210109"/>
    <w:rsid w:val="00216188"/>
    <w:rsid w:val="0022440F"/>
    <w:rsid w:val="002343A1"/>
    <w:rsid w:val="00236BC8"/>
    <w:rsid w:val="002401C3"/>
    <w:rsid w:val="00242F93"/>
    <w:rsid w:val="00243CE6"/>
    <w:rsid w:val="002470BF"/>
    <w:rsid w:val="002517BE"/>
    <w:rsid w:val="00252447"/>
    <w:rsid w:val="002527BA"/>
    <w:rsid w:val="0025306A"/>
    <w:rsid w:val="00256513"/>
    <w:rsid w:val="00256B77"/>
    <w:rsid w:val="00257C33"/>
    <w:rsid w:val="0026684B"/>
    <w:rsid w:val="0027541D"/>
    <w:rsid w:val="0027565C"/>
    <w:rsid w:val="00276D47"/>
    <w:rsid w:val="00282F0F"/>
    <w:rsid w:val="0028310A"/>
    <w:rsid w:val="0028360F"/>
    <w:rsid w:val="002907AD"/>
    <w:rsid w:val="00295111"/>
    <w:rsid w:val="002952A8"/>
    <w:rsid w:val="002A1E97"/>
    <w:rsid w:val="002B0315"/>
    <w:rsid w:val="002B17C9"/>
    <w:rsid w:val="002B4096"/>
    <w:rsid w:val="002C12EA"/>
    <w:rsid w:val="002C2084"/>
    <w:rsid w:val="002C3634"/>
    <w:rsid w:val="002C57D3"/>
    <w:rsid w:val="002C7959"/>
    <w:rsid w:val="002D01A0"/>
    <w:rsid w:val="002D32C0"/>
    <w:rsid w:val="002D4785"/>
    <w:rsid w:val="002D65D9"/>
    <w:rsid w:val="002D70C2"/>
    <w:rsid w:val="002E3EA4"/>
    <w:rsid w:val="002E73FF"/>
    <w:rsid w:val="002F2944"/>
    <w:rsid w:val="00300A1E"/>
    <w:rsid w:val="00303A04"/>
    <w:rsid w:val="00305406"/>
    <w:rsid w:val="003117FA"/>
    <w:rsid w:val="003161B2"/>
    <w:rsid w:val="00316FE5"/>
    <w:rsid w:val="0032129A"/>
    <w:rsid w:val="00321976"/>
    <w:rsid w:val="00321E25"/>
    <w:rsid w:val="0032214E"/>
    <w:rsid w:val="003232FD"/>
    <w:rsid w:val="00323D30"/>
    <w:rsid w:val="003245FB"/>
    <w:rsid w:val="00325B77"/>
    <w:rsid w:val="0032732F"/>
    <w:rsid w:val="003309E6"/>
    <w:rsid w:val="003338D2"/>
    <w:rsid w:val="003347C3"/>
    <w:rsid w:val="00337CE5"/>
    <w:rsid w:val="003408DC"/>
    <w:rsid w:val="00342897"/>
    <w:rsid w:val="00343D55"/>
    <w:rsid w:val="0035028B"/>
    <w:rsid w:val="00352733"/>
    <w:rsid w:val="00363903"/>
    <w:rsid w:val="00363D21"/>
    <w:rsid w:val="00364096"/>
    <w:rsid w:val="00366041"/>
    <w:rsid w:val="0037172B"/>
    <w:rsid w:val="0037281A"/>
    <w:rsid w:val="00373B16"/>
    <w:rsid w:val="00386E9E"/>
    <w:rsid w:val="00396505"/>
    <w:rsid w:val="00396D22"/>
    <w:rsid w:val="003A5414"/>
    <w:rsid w:val="003B223F"/>
    <w:rsid w:val="003B5BDF"/>
    <w:rsid w:val="003B5FB6"/>
    <w:rsid w:val="003C3742"/>
    <w:rsid w:val="003D027E"/>
    <w:rsid w:val="003D1E56"/>
    <w:rsid w:val="003E18FC"/>
    <w:rsid w:val="003E1F20"/>
    <w:rsid w:val="003E45CF"/>
    <w:rsid w:val="003F56CB"/>
    <w:rsid w:val="003F575F"/>
    <w:rsid w:val="003F5F2D"/>
    <w:rsid w:val="003F6C1A"/>
    <w:rsid w:val="00401615"/>
    <w:rsid w:val="00404ADC"/>
    <w:rsid w:val="00406E54"/>
    <w:rsid w:val="00414AC9"/>
    <w:rsid w:val="0041601E"/>
    <w:rsid w:val="00416D12"/>
    <w:rsid w:val="00426F49"/>
    <w:rsid w:val="004319E7"/>
    <w:rsid w:val="004354AB"/>
    <w:rsid w:val="00436052"/>
    <w:rsid w:val="004460C1"/>
    <w:rsid w:val="004470D8"/>
    <w:rsid w:val="0045126D"/>
    <w:rsid w:val="00453D98"/>
    <w:rsid w:val="004551E5"/>
    <w:rsid w:val="00467AAE"/>
    <w:rsid w:val="0047193C"/>
    <w:rsid w:val="00472A34"/>
    <w:rsid w:val="00473988"/>
    <w:rsid w:val="0047500C"/>
    <w:rsid w:val="00477D67"/>
    <w:rsid w:val="00480FB8"/>
    <w:rsid w:val="00483D13"/>
    <w:rsid w:val="00486E11"/>
    <w:rsid w:val="004904FF"/>
    <w:rsid w:val="0049271C"/>
    <w:rsid w:val="00494F1B"/>
    <w:rsid w:val="0049537D"/>
    <w:rsid w:val="00495DE5"/>
    <w:rsid w:val="004B47E4"/>
    <w:rsid w:val="004C0817"/>
    <w:rsid w:val="004C404F"/>
    <w:rsid w:val="004C733D"/>
    <w:rsid w:val="004D0672"/>
    <w:rsid w:val="004D4CC0"/>
    <w:rsid w:val="004D74F6"/>
    <w:rsid w:val="004E48E8"/>
    <w:rsid w:val="004F4E9D"/>
    <w:rsid w:val="004F5BA4"/>
    <w:rsid w:val="004F6192"/>
    <w:rsid w:val="004F6F39"/>
    <w:rsid w:val="00504BA5"/>
    <w:rsid w:val="005066BC"/>
    <w:rsid w:val="0050718F"/>
    <w:rsid w:val="005159EA"/>
    <w:rsid w:val="005161A5"/>
    <w:rsid w:val="00521C6F"/>
    <w:rsid w:val="00524973"/>
    <w:rsid w:val="00532BA1"/>
    <w:rsid w:val="005377C9"/>
    <w:rsid w:val="005422AB"/>
    <w:rsid w:val="00542917"/>
    <w:rsid w:val="00545C1E"/>
    <w:rsid w:val="00547CBC"/>
    <w:rsid w:val="005514A9"/>
    <w:rsid w:val="00555E9A"/>
    <w:rsid w:val="00566CF2"/>
    <w:rsid w:val="00567706"/>
    <w:rsid w:val="00567DC4"/>
    <w:rsid w:val="005728D8"/>
    <w:rsid w:val="005742BE"/>
    <w:rsid w:val="00575E45"/>
    <w:rsid w:val="00580273"/>
    <w:rsid w:val="00583009"/>
    <w:rsid w:val="00584DFA"/>
    <w:rsid w:val="00585B58"/>
    <w:rsid w:val="0058705D"/>
    <w:rsid w:val="0058711A"/>
    <w:rsid w:val="005904C7"/>
    <w:rsid w:val="005905A5"/>
    <w:rsid w:val="005A0325"/>
    <w:rsid w:val="005A4975"/>
    <w:rsid w:val="005B098A"/>
    <w:rsid w:val="005C174C"/>
    <w:rsid w:val="005C3944"/>
    <w:rsid w:val="005C4991"/>
    <w:rsid w:val="005C4FD0"/>
    <w:rsid w:val="005C5B8E"/>
    <w:rsid w:val="005C6390"/>
    <w:rsid w:val="005D2E63"/>
    <w:rsid w:val="005D5520"/>
    <w:rsid w:val="005D5A92"/>
    <w:rsid w:val="005D5AA3"/>
    <w:rsid w:val="005D77B2"/>
    <w:rsid w:val="005E1F4C"/>
    <w:rsid w:val="005E3A21"/>
    <w:rsid w:val="005F2440"/>
    <w:rsid w:val="005F4936"/>
    <w:rsid w:val="005F6EAA"/>
    <w:rsid w:val="005F7409"/>
    <w:rsid w:val="00600BC0"/>
    <w:rsid w:val="00604313"/>
    <w:rsid w:val="006059B7"/>
    <w:rsid w:val="00607523"/>
    <w:rsid w:val="00612610"/>
    <w:rsid w:val="00614EC4"/>
    <w:rsid w:val="006162CD"/>
    <w:rsid w:val="00616BB8"/>
    <w:rsid w:val="00623A66"/>
    <w:rsid w:val="00633BDA"/>
    <w:rsid w:val="006343CC"/>
    <w:rsid w:val="006439D7"/>
    <w:rsid w:val="00643F17"/>
    <w:rsid w:val="00653290"/>
    <w:rsid w:val="00653CB0"/>
    <w:rsid w:val="00655067"/>
    <w:rsid w:val="00656217"/>
    <w:rsid w:val="00656E83"/>
    <w:rsid w:val="006625FC"/>
    <w:rsid w:val="00662F7A"/>
    <w:rsid w:val="0067081B"/>
    <w:rsid w:val="0067124E"/>
    <w:rsid w:val="006725BD"/>
    <w:rsid w:val="00673772"/>
    <w:rsid w:val="0067616F"/>
    <w:rsid w:val="00677D2D"/>
    <w:rsid w:val="006870DB"/>
    <w:rsid w:val="006922A8"/>
    <w:rsid w:val="006949A7"/>
    <w:rsid w:val="00697D9A"/>
    <w:rsid w:val="006A69DC"/>
    <w:rsid w:val="006B09E1"/>
    <w:rsid w:val="006B26AE"/>
    <w:rsid w:val="006B3CF3"/>
    <w:rsid w:val="006B4AA7"/>
    <w:rsid w:val="006C0624"/>
    <w:rsid w:val="006C12AC"/>
    <w:rsid w:val="006C3BF1"/>
    <w:rsid w:val="006C69C7"/>
    <w:rsid w:val="006D0A7C"/>
    <w:rsid w:val="006D206B"/>
    <w:rsid w:val="006E1FE1"/>
    <w:rsid w:val="006E27B1"/>
    <w:rsid w:val="006E3AAF"/>
    <w:rsid w:val="006E4918"/>
    <w:rsid w:val="006E625E"/>
    <w:rsid w:val="006E664E"/>
    <w:rsid w:val="006F4B8A"/>
    <w:rsid w:val="006F4EB6"/>
    <w:rsid w:val="0070058A"/>
    <w:rsid w:val="00700F69"/>
    <w:rsid w:val="00701B18"/>
    <w:rsid w:val="007069E4"/>
    <w:rsid w:val="00715852"/>
    <w:rsid w:val="00715F3F"/>
    <w:rsid w:val="00725052"/>
    <w:rsid w:val="0072621B"/>
    <w:rsid w:val="00727326"/>
    <w:rsid w:val="0073603D"/>
    <w:rsid w:val="00746974"/>
    <w:rsid w:val="00747EF8"/>
    <w:rsid w:val="0075146A"/>
    <w:rsid w:val="00756DB3"/>
    <w:rsid w:val="00760B2B"/>
    <w:rsid w:val="0076489E"/>
    <w:rsid w:val="00765A44"/>
    <w:rsid w:val="00770D4C"/>
    <w:rsid w:val="007729D4"/>
    <w:rsid w:val="00781BBC"/>
    <w:rsid w:val="0078423E"/>
    <w:rsid w:val="0078475E"/>
    <w:rsid w:val="00785AB2"/>
    <w:rsid w:val="00796393"/>
    <w:rsid w:val="00796CDB"/>
    <w:rsid w:val="007A0A6E"/>
    <w:rsid w:val="007A2D95"/>
    <w:rsid w:val="007A4516"/>
    <w:rsid w:val="007A4BCF"/>
    <w:rsid w:val="007A5023"/>
    <w:rsid w:val="007A78DC"/>
    <w:rsid w:val="007A7D7C"/>
    <w:rsid w:val="007B6876"/>
    <w:rsid w:val="007C2514"/>
    <w:rsid w:val="007C25FB"/>
    <w:rsid w:val="007C3E56"/>
    <w:rsid w:val="007C5570"/>
    <w:rsid w:val="007C5B19"/>
    <w:rsid w:val="007D02BC"/>
    <w:rsid w:val="007D2C46"/>
    <w:rsid w:val="007E32C9"/>
    <w:rsid w:val="007E704F"/>
    <w:rsid w:val="007E7061"/>
    <w:rsid w:val="007F17E5"/>
    <w:rsid w:val="007F29DB"/>
    <w:rsid w:val="007F605C"/>
    <w:rsid w:val="00804021"/>
    <w:rsid w:val="00815018"/>
    <w:rsid w:val="00816A56"/>
    <w:rsid w:val="0082500B"/>
    <w:rsid w:val="00826FED"/>
    <w:rsid w:val="00830E12"/>
    <w:rsid w:val="00832CA0"/>
    <w:rsid w:val="00834CBB"/>
    <w:rsid w:val="00844031"/>
    <w:rsid w:val="0084491F"/>
    <w:rsid w:val="00852471"/>
    <w:rsid w:val="0085253B"/>
    <w:rsid w:val="00863B44"/>
    <w:rsid w:val="008649DE"/>
    <w:rsid w:val="00866175"/>
    <w:rsid w:val="008710B0"/>
    <w:rsid w:val="008714A5"/>
    <w:rsid w:val="0087223B"/>
    <w:rsid w:val="00877371"/>
    <w:rsid w:val="008822B2"/>
    <w:rsid w:val="008873E1"/>
    <w:rsid w:val="00891558"/>
    <w:rsid w:val="0089459F"/>
    <w:rsid w:val="008A0225"/>
    <w:rsid w:val="008A2FD5"/>
    <w:rsid w:val="008A5A2F"/>
    <w:rsid w:val="008A5F5B"/>
    <w:rsid w:val="008A6A9A"/>
    <w:rsid w:val="008B71B9"/>
    <w:rsid w:val="008C1337"/>
    <w:rsid w:val="008C1F0D"/>
    <w:rsid w:val="008C31F8"/>
    <w:rsid w:val="008C4C7E"/>
    <w:rsid w:val="008C530C"/>
    <w:rsid w:val="008C765D"/>
    <w:rsid w:val="008D4D29"/>
    <w:rsid w:val="008D6B5D"/>
    <w:rsid w:val="008E3B35"/>
    <w:rsid w:val="008E3EDF"/>
    <w:rsid w:val="008E5682"/>
    <w:rsid w:val="008F2D33"/>
    <w:rsid w:val="008F3151"/>
    <w:rsid w:val="00905C3F"/>
    <w:rsid w:val="00905D58"/>
    <w:rsid w:val="0091062F"/>
    <w:rsid w:val="00912495"/>
    <w:rsid w:val="00912DA2"/>
    <w:rsid w:val="00914CF2"/>
    <w:rsid w:val="009164C7"/>
    <w:rsid w:val="009268C1"/>
    <w:rsid w:val="00930397"/>
    <w:rsid w:val="00931D25"/>
    <w:rsid w:val="00940AFD"/>
    <w:rsid w:val="00940B8E"/>
    <w:rsid w:val="009539F9"/>
    <w:rsid w:val="009542CE"/>
    <w:rsid w:val="009566CE"/>
    <w:rsid w:val="00956C65"/>
    <w:rsid w:val="00965406"/>
    <w:rsid w:val="00972A15"/>
    <w:rsid w:val="00976CCC"/>
    <w:rsid w:val="00982485"/>
    <w:rsid w:val="00987928"/>
    <w:rsid w:val="00990AFD"/>
    <w:rsid w:val="0099119A"/>
    <w:rsid w:val="009926BD"/>
    <w:rsid w:val="00993A5D"/>
    <w:rsid w:val="0099590F"/>
    <w:rsid w:val="009A0003"/>
    <w:rsid w:val="009A1524"/>
    <w:rsid w:val="009A17AC"/>
    <w:rsid w:val="009B2D42"/>
    <w:rsid w:val="009B3B7B"/>
    <w:rsid w:val="009B7AFA"/>
    <w:rsid w:val="009C0936"/>
    <w:rsid w:val="009C34C6"/>
    <w:rsid w:val="009C6A2A"/>
    <w:rsid w:val="009C732F"/>
    <w:rsid w:val="009D0621"/>
    <w:rsid w:val="009E3A55"/>
    <w:rsid w:val="009E5A1C"/>
    <w:rsid w:val="009F2590"/>
    <w:rsid w:val="009F3E8B"/>
    <w:rsid w:val="009F45DB"/>
    <w:rsid w:val="009F763E"/>
    <w:rsid w:val="009F784A"/>
    <w:rsid w:val="00A0259D"/>
    <w:rsid w:val="00A061BA"/>
    <w:rsid w:val="00A0691A"/>
    <w:rsid w:val="00A06991"/>
    <w:rsid w:val="00A1102C"/>
    <w:rsid w:val="00A13ECA"/>
    <w:rsid w:val="00A14A1C"/>
    <w:rsid w:val="00A20AE4"/>
    <w:rsid w:val="00A22CD8"/>
    <w:rsid w:val="00A24722"/>
    <w:rsid w:val="00A25349"/>
    <w:rsid w:val="00A30FE6"/>
    <w:rsid w:val="00A34627"/>
    <w:rsid w:val="00A36244"/>
    <w:rsid w:val="00A36DEB"/>
    <w:rsid w:val="00A4263D"/>
    <w:rsid w:val="00A4699B"/>
    <w:rsid w:val="00A47283"/>
    <w:rsid w:val="00A50835"/>
    <w:rsid w:val="00A52FEF"/>
    <w:rsid w:val="00A53617"/>
    <w:rsid w:val="00A53D13"/>
    <w:rsid w:val="00A53DEB"/>
    <w:rsid w:val="00A559E9"/>
    <w:rsid w:val="00A607C6"/>
    <w:rsid w:val="00A624DF"/>
    <w:rsid w:val="00A64401"/>
    <w:rsid w:val="00A646C7"/>
    <w:rsid w:val="00A665E6"/>
    <w:rsid w:val="00A804DC"/>
    <w:rsid w:val="00A87040"/>
    <w:rsid w:val="00A9285C"/>
    <w:rsid w:val="00A92E65"/>
    <w:rsid w:val="00A93BAC"/>
    <w:rsid w:val="00A96847"/>
    <w:rsid w:val="00AA018F"/>
    <w:rsid w:val="00AA18CD"/>
    <w:rsid w:val="00AA1EC9"/>
    <w:rsid w:val="00AA34DA"/>
    <w:rsid w:val="00AA7008"/>
    <w:rsid w:val="00AA7CEC"/>
    <w:rsid w:val="00AB10FB"/>
    <w:rsid w:val="00AD1ECF"/>
    <w:rsid w:val="00AD1FF7"/>
    <w:rsid w:val="00AE007C"/>
    <w:rsid w:val="00AE22C9"/>
    <w:rsid w:val="00AE4573"/>
    <w:rsid w:val="00AE5D78"/>
    <w:rsid w:val="00AE6A81"/>
    <w:rsid w:val="00AF2FE6"/>
    <w:rsid w:val="00B006B6"/>
    <w:rsid w:val="00B01F08"/>
    <w:rsid w:val="00B02927"/>
    <w:rsid w:val="00B03782"/>
    <w:rsid w:val="00B04C8C"/>
    <w:rsid w:val="00B146B6"/>
    <w:rsid w:val="00B16A9B"/>
    <w:rsid w:val="00B23C5D"/>
    <w:rsid w:val="00B24620"/>
    <w:rsid w:val="00B25738"/>
    <w:rsid w:val="00B3171E"/>
    <w:rsid w:val="00B356EA"/>
    <w:rsid w:val="00B35F46"/>
    <w:rsid w:val="00B36DA8"/>
    <w:rsid w:val="00B40A8F"/>
    <w:rsid w:val="00B42F97"/>
    <w:rsid w:val="00B4407C"/>
    <w:rsid w:val="00B44ADA"/>
    <w:rsid w:val="00B46971"/>
    <w:rsid w:val="00B50C73"/>
    <w:rsid w:val="00B572AF"/>
    <w:rsid w:val="00B57F2F"/>
    <w:rsid w:val="00B6357E"/>
    <w:rsid w:val="00B752E7"/>
    <w:rsid w:val="00B76615"/>
    <w:rsid w:val="00B8140A"/>
    <w:rsid w:val="00B95F32"/>
    <w:rsid w:val="00B97145"/>
    <w:rsid w:val="00BA1D0B"/>
    <w:rsid w:val="00BA271D"/>
    <w:rsid w:val="00BA4177"/>
    <w:rsid w:val="00BA6787"/>
    <w:rsid w:val="00BB25FC"/>
    <w:rsid w:val="00BB353D"/>
    <w:rsid w:val="00BB3863"/>
    <w:rsid w:val="00BB7CC9"/>
    <w:rsid w:val="00BC0EC7"/>
    <w:rsid w:val="00BC150C"/>
    <w:rsid w:val="00BC3B95"/>
    <w:rsid w:val="00BC5CA5"/>
    <w:rsid w:val="00BD0CBC"/>
    <w:rsid w:val="00BD1296"/>
    <w:rsid w:val="00BD3961"/>
    <w:rsid w:val="00BE2ADE"/>
    <w:rsid w:val="00BE5F2D"/>
    <w:rsid w:val="00BE7B84"/>
    <w:rsid w:val="00BF1268"/>
    <w:rsid w:val="00BF40C5"/>
    <w:rsid w:val="00BF546C"/>
    <w:rsid w:val="00BF7D4A"/>
    <w:rsid w:val="00C13E08"/>
    <w:rsid w:val="00C15139"/>
    <w:rsid w:val="00C15EF9"/>
    <w:rsid w:val="00C1769D"/>
    <w:rsid w:val="00C20056"/>
    <w:rsid w:val="00C301AC"/>
    <w:rsid w:val="00C324CB"/>
    <w:rsid w:val="00C3402F"/>
    <w:rsid w:val="00C34B6F"/>
    <w:rsid w:val="00C350B5"/>
    <w:rsid w:val="00C42AF7"/>
    <w:rsid w:val="00C444AB"/>
    <w:rsid w:val="00C4479A"/>
    <w:rsid w:val="00C473B3"/>
    <w:rsid w:val="00C553F5"/>
    <w:rsid w:val="00C57535"/>
    <w:rsid w:val="00C67051"/>
    <w:rsid w:val="00C6716E"/>
    <w:rsid w:val="00C671D7"/>
    <w:rsid w:val="00C723EA"/>
    <w:rsid w:val="00C73455"/>
    <w:rsid w:val="00C73E19"/>
    <w:rsid w:val="00C7485F"/>
    <w:rsid w:val="00C7712D"/>
    <w:rsid w:val="00C87828"/>
    <w:rsid w:val="00C927E2"/>
    <w:rsid w:val="00C92B30"/>
    <w:rsid w:val="00C93EFF"/>
    <w:rsid w:val="00C954AE"/>
    <w:rsid w:val="00C96086"/>
    <w:rsid w:val="00C9690C"/>
    <w:rsid w:val="00C96E9A"/>
    <w:rsid w:val="00CB3B28"/>
    <w:rsid w:val="00CB53F5"/>
    <w:rsid w:val="00CC45AD"/>
    <w:rsid w:val="00CD06F7"/>
    <w:rsid w:val="00CE26B6"/>
    <w:rsid w:val="00CE434C"/>
    <w:rsid w:val="00CF1EBF"/>
    <w:rsid w:val="00CF5122"/>
    <w:rsid w:val="00D0432B"/>
    <w:rsid w:val="00D050FD"/>
    <w:rsid w:val="00D0635E"/>
    <w:rsid w:val="00D0659B"/>
    <w:rsid w:val="00D07C8D"/>
    <w:rsid w:val="00D150C9"/>
    <w:rsid w:val="00D16AB7"/>
    <w:rsid w:val="00D33F4B"/>
    <w:rsid w:val="00D34D2E"/>
    <w:rsid w:val="00D363F4"/>
    <w:rsid w:val="00D44D0E"/>
    <w:rsid w:val="00D45EA3"/>
    <w:rsid w:val="00D56AB8"/>
    <w:rsid w:val="00D63352"/>
    <w:rsid w:val="00D65D02"/>
    <w:rsid w:val="00D7182F"/>
    <w:rsid w:val="00D73D3D"/>
    <w:rsid w:val="00D812A6"/>
    <w:rsid w:val="00D83468"/>
    <w:rsid w:val="00D8469C"/>
    <w:rsid w:val="00D85E0F"/>
    <w:rsid w:val="00D90450"/>
    <w:rsid w:val="00D92E43"/>
    <w:rsid w:val="00D93360"/>
    <w:rsid w:val="00D95554"/>
    <w:rsid w:val="00D9795C"/>
    <w:rsid w:val="00DA0DF2"/>
    <w:rsid w:val="00DA3FBF"/>
    <w:rsid w:val="00DA5859"/>
    <w:rsid w:val="00DA67AE"/>
    <w:rsid w:val="00DB4118"/>
    <w:rsid w:val="00DB6D59"/>
    <w:rsid w:val="00DC2D9C"/>
    <w:rsid w:val="00DC5317"/>
    <w:rsid w:val="00DD008F"/>
    <w:rsid w:val="00DD2535"/>
    <w:rsid w:val="00DD3E36"/>
    <w:rsid w:val="00DD45EF"/>
    <w:rsid w:val="00DE181B"/>
    <w:rsid w:val="00DE32FA"/>
    <w:rsid w:val="00DE5E55"/>
    <w:rsid w:val="00DE7B03"/>
    <w:rsid w:val="00DF08F7"/>
    <w:rsid w:val="00DF0A2D"/>
    <w:rsid w:val="00DF0B4D"/>
    <w:rsid w:val="00DF3C5F"/>
    <w:rsid w:val="00DF5AC9"/>
    <w:rsid w:val="00DF7862"/>
    <w:rsid w:val="00E1577D"/>
    <w:rsid w:val="00E35C14"/>
    <w:rsid w:val="00E36704"/>
    <w:rsid w:val="00E405BB"/>
    <w:rsid w:val="00E443C6"/>
    <w:rsid w:val="00E45085"/>
    <w:rsid w:val="00E46D87"/>
    <w:rsid w:val="00E46FBA"/>
    <w:rsid w:val="00E54CDE"/>
    <w:rsid w:val="00E56355"/>
    <w:rsid w:val="00E61DF2"/>
    <w:rsid w:val="00E70297"/>
    <w:rsid w:val="00E7190B"/>
    <w:rsid w:val="00E73E3B"/>
    <w:rsid w:val="00E773B0"/>
    <w:rsid w:val="00E83DEB"/>
    <w:rsid w:val="00E8735B"/>
    <w:rsid w:val="00E92945"/>
    <w:rsid w:val="00E963E2"/>
    <w:rsid w:val="00E973CE"/>
    <w:rsid w:val="00E97D4B"/>
    <w:rsid w:val="00EA7DA4"/>
    <w:rsid w:val="00EB66CF"/>
    <w:rsid w:val="00EC439B"/>
    <w:rsid w:val="00EC50D6"/>
    <w:rsid w:val="00EC6252"/>
    <w:rsid w:val="00ED2AA5"/>
    <w:rsid w:val="00ED39B2"/>
    <w:rsid w:val="00ED3F89"/>
    <w:rsid w:val="00ED6402"/>
    <w:rsid w:val="00EF3C00"/>
    <w:rsid w:val="00F021B1"/>
    <w:rsid w:val="00F06A50"/>
    <w:rsid w:val="00F130CE"/>
    <w:rsid w:val="00F15368"/>
    <w:rsid w:val="00F16B8C"/>
    <w:rsid w:val="00F16BB1"/>
    <w:rsid w:val="00F21F6F"/>
    <w:rsid w:val="00F22E4E"/>
    <w:rsid w:val="00F23E17"/>
    <w:rsid w:val="00F31569"/>
    <w:rsid w:val="00F31ECC"/>
    <w:rsid w:val="00F37CF3"/>
    <w:rsid w:val="00F405E7"/>
    <w:rsid w:val="00F41007"/>
    <w:rsid w:val="00F42B1D"/>
    <w:rsid w:val="00F4731D"/>
    <w:rsid w:val="00F47947"/>
    <w:rsid w:val="00F52C13"/>
    <w:rsid w:val="00F55849"/>
    <w:rsid w:val="00F562F3"/>
    <w:rsid w:val="00F61110"/>
    <w:rsid w:val="00F61A7D"/>
    <w:rsid w:val="00F62DD2"/>
    <w:rsid w:val="00F63548"/>
    <w:rsid w:val="00F6706D"/>
    <w:rsid w:val="00F67DC1"/>
    <w:rsid w:val="00F7202C"/>
    <w:rsid w:val="00F737A1"/>
    <w:rsid w:val="00F75DAE"/>
    <w:rsid w:val="00F76724"/>
    <w:rsid w:val="00F77A65"/>
    <w:rsid w:val="00F8353C"/>
    <w:rsid w:val="00F84A00"/>
    <w:rsid w:val="00F87D9A"/>
    <w:rsid w:val="00F92275"/>
    <w:rsid w:val="00F93978"/>
    <w:rsid w:val="00F94845"/>
    <w:rsid w:val="00F966CB"/>
    <w:rsid w:val="00FA1B7A"/>
    <w:rsid w:val="00FB02CD"/>
    <w:rsid w:val="00FB2EA6"/>
    <w:rsid w:val="00FC36B3"/>
    <w:rsid w:val="00FD1570"/>
    <w:rsid w:val="00FD40A7"/>
    <w:rsid w:val="00FD76BF"/>
    <w:rsid w:val="00FE129A"/>
    <w:rsid w:val="00FE39DF"/>
    <w:rsid w:val="00FE5155"/>
    <w:rsid w:val="00FE67AC"/>
    <w:rsid w:val="00FE6EDB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BE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  <w:rPr>
      <w:rFonts w:ascii="Arial" w:hAnsi="Arial"/>
      <w:sz w:val="2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-993"/>
        <w:tab w:val="left" w:pos="-284"/>
      </w:tabs>
      <w:ind w:left="851" w:right="-142"/>
      <w:jc w:val="both"/>
      <w:outlineLvl w:val="3"/>
    </w:pPr>
    <w:rPr>
      <w:b/>
      <w:bCs/>
      <w:smallCaps/>
      <w:sz w:val="22"/>
    </w:rPr>
  </w:style>
  <w:style w:type="paragraph" w:styleId="Nadpis5">
    <w:name w:val="heading 5"/>
    <w:basedOn w:val="Normln"/>
    <w:next w:val="Normln"/>
    <w:qFormat/>
    <w:pPr>
      <w:keepNext/>
      <w:spacing w:before="720"/>
      <w:ind w:left="851" w:right="-142" w:hanging="851"/>
      <w:jc w:val="both"/>
      <w:outlineLvl w:val="4"/>
    </w:pPr>
    <w:rPr>
      <w:b/>
      <w:cap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600"/>
      <w:ind w:left="851" w:right="-142" w:hanging="851"/>
      <w:jc w:val="both"/>
      <w:outlineLvl w:val="6"/>
    </w:pPr>
    <w:rPr>
      <w:b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right="-142"/>
      <w:jc w:val="both"/>
      <w:outlineLvl w:val="7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BlockText">
    <w:name w:val="Block Text"/>
    <w:basedOn w:val="Normln"/>
    <w:pPr>
      <w:tabs>
        <w:tab w:val="left" w:pos="-426"/>
      </w:tabs>
      <w:ind w:left="851" w:right="284" w:hanging="851"/>
      <w:jc w:val="both"/>
    </w:pPr>
    <w:rPr>
      <w:sz w:val="22"/>
    </w:rPr>
  </w:style>
  <w:style w:type="paragraph" w:customStyle="1" w:styleId="Odst15-odstup">
    <w:name w:val="Odst.1.5 - odstup"/>
    <w:basedOn w:val="Normln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firstLine="284"/>
      <w:jc w:val="both"/>
    </w:pPr>
    <w:rPr>
      <w:rFonts w:ascii="Times New Roman" w:hAnsi="Times New Roman"/>
      <w:sz w:val="24"/>
    </w:rPr>
  </w:style>
  <w:style w:type="paragraph" w:customStyle="1" w:styleId="O3">
    <w:name w:val="O3"/>
    <w:basedOn w:val="Normln"/>
    <w:pPr>
      <w:tabs>
        <w:tab w:val="left" w:pos="284"/>
        <w:tab w:val="left" w:pos="1701"/>
      </w:tabs>
      <w:spacing w:before="60"/>
      <w:ind w:left="709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pacing w:before="60" w:after="120"/>
      <w:ind w:left="851"/>
      <w:jc w:val="both"/>
      <w:textAlignment w:val="baseline"/>
    </w:pPr>
    <w:rPr>
      <w:kern w:val="28"/>
      <w:sz w:val="24"/>
    </w:rPr>
  </w:style>
  <w:style w:type="paragraph" w:styleId="Nzev">
    <w:name w:val="Title"/>
    <w:basedOn w:val="Normln"/>
    <w:qFormat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paragraph" w:styleId="Textvbloku">
    <w:name w:val="Block Text"/>
    <w:basedOn w:val="Normln"/>
    <w:pPr>
      <w:ind w:left="851" w:right="-142" w:firstLine="6"/>
      <w:jc w:val="both"/>
    </w:pPr>
    <w:rPr>
      <w:rFonts w:cs="Arial"/>
      <w:sz w:val="22"/>
      <w:szCs w:val="22"/>
    </w:rPr>
  </w:style>
  <w:style w:type="paragraph" w:styleId="Zkladntext2">
    <w:name w:val="Body Text 2"/>
    <w:basedOn w:val="Normln"/>
    <w:pPr>
      <w:overflowPunct/>
      <w:autoSpaceDE/>
      <w:autoSpaceDN/>
      <w:adjustRightInd/>
    </w:pPr>
    <w:rPr>
      <w:rFonts w:ascii="Times New Roman" w:hAnsi="Times New Roman"/>
      <w:i/>
      <w:color w:val="FF0000"/>
      <w:sz w:val="24"/>
    </w:rPr>
  </w:style>
  <w:style w:type="paragraph" w:styleId="Zkladntextodsazen2">
    <w:name w:val="Body Text Indent 2"/>
    <w:basedOn w:val="Normln"/>
    <w:rsid w:val="002B0315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C96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ln"/>
    <w:qFormat/>
    <w:rsid w:val="00D16AB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10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109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21010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10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10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0109"/>
    <w:rPr>
      <w:rFonts w:ascii="Tahoma" w:hAnsi="Tahoma" w:cs="Tahoma"/>
      <w:sz w:val="16"/>
      <w:szCs w:val="16"/>
    </w:rPr>
  </w:style>
  <w:style w:type="paragraph" w:customStyle="1" w:styleId="strany1">
    <w:name w:val="strany1"/>
    <w:basedOn w:val="Normln"/>
    <w:rsid w:val="00555E9A"/>
    <w:pPr>
      <w:keepLines/>
      <w:tabs>
        <w:tab w:val="left" w:pos="2552"/>
        <w:tab w:val="left" w:pos="6237"/>
        <w:tab w:val="right" w:pos="9639"/>
      </w:tabs>
      <w:suppressAutoHyphens/>
      <w:overflowPunct/>
      <w:autoSpaceDE/>
      <w:autoSpaceDN/>
      <w:adjustRightInd/>
      <w:spacing w:after="20"/>
    </w:pPr>
    <w:rPr>
      <w:rFonts w:ascii="Arial Narrow" w:hAnsi="Arial Narrow"/>
      <w:spacing w:val="4"/>
      <w:sz w:val="22"/>
    </w:rPr>
  </w:style>
  <w:style w:type="character" w:customStyle="1" w:styleId="preformatted">
    <w:name w:val="preformatted"/>
    <w:rsid w:val="00555E9A"/>
  </w:style>
  <w:style w:type="paragraph" w:styleId="Revize">
    <w:name w:val="Revision"/>
    <w:hidden/>
    <w:uiPriority w:val="99"/>
    <w:semiHidden/>
    <w:rsid w:val="00905C3F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1703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2023-04-04T12:17:00Z</dcterms:created>
  <dcterms:modified xsi:type="dcterms:W3CDTF">2023-04-04T12:17:00Z</dcterms:modified>
</cp:coreProperties>
</file>