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jc w:val="center"/>
        <w:rPr>
          <w:rFonts w:ascii="Cambria" w:hAnsi="Cambria"/>
          <w:b/>
          <w:b/>
          <w:sz w:val="28"/>
          <w:szCs w:val="28"/>
        </w:rPr>
      </w:pPr>
      <w:r>
        <w:rPr>
          <w:rFonts w:ascii="Cambria" w:hAnsi="Cambria"/>
          <w:b/>
          <w:sz w:val="28"/>
          <w:szCs w:val="28"/>
        </w:rPr>
        <w:t>Dohoda o uznání dluhu</w:t>
      </w:r>
    </w:p>
    <w:p>
      <w:pPr>
        <w:pStyle w:val="Normal"/>
        <w:widowControl w:val="false"/>
        <w:jc w:val="both"/>
        <w:rPr>
          <w:rFonts w:ascii="Cambria" w:hAnsi="Cambria"/>
          <w:b/>
          <w:b/>
          <w:szCs w:val="22"/>
        </w:rPr>
      </w:pPr>
      <w:r>
        <w:rPr>
          <w:rFonts w:ascii="Cambria" w:hAnsi="Cambria"/>
          <w:b/>
          <w:szCs w:val="22"/>
        </w:rPr>
      </w:r>
    </w:p>
    <w:p>
      <w:pPr>
        <w:pStyle w:val="Normal"/>
        <w:widowControl w:val="false"/>
        <w:jc w:val="both"/>
        <w:rPr>
          <w:rFonts w:ascii="Cambria" w:hAnsi="Cambria"/>
          <w:b/>
          <w:b/>
          <w:szCs w:val="22"/>
        </w:rPr>
      </w:pPr>
      <w:r>
        <w:rPr>
          <w:rFonts w:ascii="Cambria" w:hAnsi="Cambria"/>
          <w:b/>
          <w:szCs w:val="22"/>
        </w:rPr>
        <w:t>NÍŽE UVEDENÉHO DNE, MĚSÍCE A ROKU:</w:t>
      </w:r>
    </w:p>
    <w:p>
      <w:pPr>
        <w:pStyle w:val="Normal"/>
        <w:widowControl w:val="false"/>
        <w:jc w:val="both"/>
        <w:rPr>
          <w:rFonts w:ascii="Cambria" w:hAnsi="Cambria"/>
          <w:szCs w:val="22"/>
        </w:rPr>
      </w:pPr>
      <w:r>
        <w:rPr>
          <w:rFonts w:ascii="Cambria" w:hAnsi="Cambria"/>
          <w:szCs w:val="22"/>
        </w:rPr>
      </w:r>
    </w:p>
    <w:p>
      <w:pPr>
        <w:pStyle w:val="ListParagraph"/>
        <w:widowControl w:val="false"/>
        <w:numPr>
          <w:ilvl w:val="0"/>
          <w:numId w:val="2"/>
        </w:numPr>
        <w:tabs>
          <w:tab w:val="clear" w:pos="708"/>
          <w:tab w:val="left" w:pos="1134" w:leader="none"/>
        </w:tabs>
        <w:ind w:left="1134" w:hanging="992"/>
        <w:jc w:val="both"/>
        <w:rPr>
          <w:color w:val="auto"/>
        </w:rPr>
      </w:pPr>
      <w:r>
        <w:rPr>
          <w:b/>
          <w:bCs/>
          <w:color w:val="auto"/>
          <w:szCs w:val="22"/>
        </w:rPr>
        <w:t>město Nové Město na Moravě</w:t>
      </w:r>
      <w:r>
        <w:rPr>
          <w:color w:val="auto"/>
          <w:szCs w:val="22"/>
        </w:rPr>
        <w:t xml:space="preserve">, IČ 00294900, se sídlem Vratislavovo náměstí 103, 592 31 Nové Město na Moravě, zastoupeno Michalem Šmardou, starostou </w:t>
      </w:r>
    </w:p>
    <w:p>
      <w:pPr>
        <w:pStyle w:val="Normal"/>
        <w:widowControl w:val="false"/>
        <w:tabs>
          <w:tab w:val="clear" w:pos="708"/>
          <w:tab w:val="left" w:pos="1134" w:leader="none"/>
        </w:tabs>
        <w:ind w:left="1134" w:hanging="0"/>
        <w:jc w:val="both"/>
        <w:rPr>
          <w:color w:val="auto"/>
        </w:rPr>
      </w:pPr>
      <w:r>
        <w:rPr>
          <w:rFonts w:ascii="Cambria" w:hAnsi="Cambria"/>
          <w:color w:val="auto"/>
          <w:szCs w:val="22"/>
        </w:rPr>
        <w:t>(dále také jako „</w:t>
      </w:r>
      <w:r>
        <w:rPr>
          <w:rFonts w:ascii="Cambria" w:hAnsi="Cambria"/>
          <w:b/>
          <w:color w:val="auto"/>
          <w:szCs w:val="22"/>
        </w:rPr>
        <w:t>Věřitel</w:t>
      </w:r>
      <w:r>
        <w:rPr>
          <w:rFonts w:ascii="Cambria" w:hAnsi="Cambria"/>
          <w:color w:val="auto"/>
          <w:szCs w:val="22"/>
        </w:rPr>
        <w:t>“)</w:t>
      </w:r>
    </w:p>
    <w:p>
      <w:pPr>
        <w:pStyle w:val="Normal"/>
        <w:widowControl w:val="false"/>
        <w:jc w:val="both"/>
        <w:rPr>
          <w:rFonts w:ascii="Cambria" w:hAnsi="Cambria"/>
          <w:color w:val="auto"/>
          <w:szCs w:val="22"/>
        </w:rPr>
      </w:pPr>
      <w:r>
        <w:rPr>
          <w:rFonts w:ascii="Cambria" w:hAnsi="Cambria"/>
          <w:color w:val="auto"/>
          <w:szCs w:val="22"/>
        </w:rPr>
      </w:r>
    </w:p>
    <w:p>
      <w:pPr>
        <w:pStyle w:val="Normal"/>
        <w:widowControl w:val="false"/>
        <w:tabs>
          <w:tab w:val="clear" w:pos="708"/>
          <w:tab w:val="left" w:pos="1100" w:leader="none"/>
        </w:tabs>
        <w:jc w:val="both"/>
        <w:rPr>
          <w:rFonts w:ascii="Cambria" w:hAnsi="Cambria"/>
          <w:szCs w:val="22"/>
        </w:rPr>
      </w:pPr>
      <w:r>
        <w:rPr>
          <w:rFonts w:ascii="Cambria" w:hAnsi="Cambria"/>
          <w:szCs w:val="22"/>
        </w:rPr>
      </w:r>
    </w:p>
    <w:p>
      <w:pPr>
        <w:pStyle w:val="ListParagraph"/>
        <w:widowControl w:val="false"/>
        <w:numPr>
          <w:ilvl w:val="0"/>
          <w:numId w:val="2"/>
        </w:numPr>
        <w:tabs>
          <w:tab w:val="clear" w:pos="708"/>
          <w:tab w:val="left" w:pos="1134" w:leader="none"/>
        </w:tabs>
        <w:ind w:left="1134" w:hanging="992"/>
        <w:jc w:val="both"/>
        <w:rPr/>
      </w:pPr>
      <w:r>
        <w:rPr>
          <w:b/>
          <w:bCs/>
        </w:rPr>
        <w:t>Novoměstská teplárenská a.s.</w:t>
      </w:r>
      <w:r>
        <w:rPr/>
        <w:t>, IČ 253 35 057, se sídlem Hornická 973, 592 31 Nové Město na Moravě, zapsanou v obchodním rejstříku vedeném Krajským soudem v Brně, oddíl B, vložka 2281, zastoupena předsedou představenstva Ondřejem Pekárkem, MSc.</w:t>
      </w:r>
    </w:p>
    <w:p>
      <w:pPr>
        <w:pStyle w:val="Normal"/>
        <w:widowControl w:val="false"/>
        <w:tabs>
          <w:tab w:val="clear" w:pos="708"/>
          <w:tab w:val="left" w:pos="7624" w:leader="none"/>
        </w:tabs>
        <w:ind w:left="1134" w:hanging="1134"/>
        <w:jc w:val="both"/>
        <w:rPr>
          <w:rFonts w:ascii="Cambria" w:hAnsi="Cambria"/>
          <w:color w:val="000000" w:themeColor="text1"/>
          <w:szCs w:val="22"/>
        </w:rPr>
      </w:pPr>
      <w:r>
        <w:rPr>
          <w:rFonts w:ascii="Cambria" w:hAnsi="Cambria"/>
          <w:color w:val="000000" w:themeColor="text1"/>
          <w:szCs w:val="22"/>
        </w:rPr>
        <w:tab/>
      </w:r>
      <w:r>
        <w:rPr>
          <w:rFonts w:ascii="Cambria" w:hAnsi="Cambria"/>
          <w:szCs w:val="22"/>
        </w:rPr>
        <w:t>(dále také jako „</w:t>
      </w:r>
      <w:r>
        <w:rPr>
          <w:rFonts w:ascii="Cambria" w:hAnsi="Cambria"/>
          <w:b/>
          <w:szCs w:val="22"/>
        </w:rPr>
        <w:t>Dlužník</w:t>
      </w:r>
      <w:r>
        <w:rPr>
          <w:rFonts w:ascii="Cambria" w:hAnsi="Cambria"/>
          <w:szCs w:val="22"/>
        </w:rPr>
        <w:t>“)</w:t>
      </w:r>
    </w:p>
    <w:p>
      <w:pPr>
        <w:pStyle w:val="Normal"/>
        <w:widowControl w:val="false"/>
        <w:tabs>
          <w:tab w:val="clear" w:pos="708"/>
          <w:tab w:val="left" w:pos="1100" w:leader="none"/>
        </w:tabs>
        <w:ind w:left="1134" w:hanging="1134"/>
        <w:jc w:val="both"/>
        <w:rPr>
          <w:rFonts w:ascii="Cambria" w:hAnsi="Cambria"/>
          <w:color w:val="000000" w:themeColor="text1"/>
          <w:szCs w:val="22"/>
        </w:rPr>
      </w:pPr>
      <w:r>
        <w:rPr>
          <w:rFonts w:ascii="Cambria" w:hAnsi="Cambria"/>
          <w:color w:val="000000" w:themeColor="text1"/>
          <w:szCs w:val="22"/>
        </w:rPr>
      </w:r>
    </w:p>
    <w:p>
      <w:pPr>
        <w:pStyle w:val="Normal"/>
        <w:widowControl w:val="false"/>
        <w:jc w:val="both"/>
        <w:rPr>
          <w:rFonts w:ascii="Cambria" w:hAnsi="Cambria"/>
          <w:color w:val="000000" w:themeColor="text1"/>
          <w:szCs w:val="22"/>
        </w:rPr>
      </w:pPr>
      <w:r>
        <w:rPr>
          <w:rFonts w:ascii="Cambria" w:hAnsi="Cambria"/>
          <w:color w:val="000000" w:themeColor="text1"/>
          <w:szCs w:val="22"/>
        </w:rPr>
      </w:r>
    </w:p>
    <w:p>
      <w:pPr>
        <w:pStyle w:val="Normal"/>
        <w:widowControl w:val="false"/>
        <w:ind w:left="1134" w:hanging="0"/>
        <w:jc w:val="both"/>
        <w:rPr>
          <w:rFonts w:ascii="Cambria" w:hAnsi="Cambria"/>
          <w:color w:val="000000" w:themeColor="text1"/>
          <w:szCs w:val="22"/>
        </w:rPr>
      </w:pPr>
      <w:r>
        <w:rPr>
          <w:rFonts w:ascii="Cambria" w:hAnsi="Cambria"/>
          <w:color w:val="000000" w:themeColor="text1"/>
          <w:szCs w:val="22"/>
        </w:rPr>
        <w:t>(Věřitel a Dlužník dále také společně jako „</w:t>
      </w:r>
      <w:r>
        <w:rPr>
          <w:rFonts w:ascii="Cambria" w:hAnsi="Cambria"/>
          <w:b/>
          <w:color w:val="000000" w:themeColor="text1"/>
          <w:szCs w:val="22"/>
        </w:rPr>
        <w:t>Smluvní strany</w:t>
      </w:r>
      <w:r>
        <w:rPr>
          <w:rFonts w:ascii="Cambria" w:hAnsi="Cambria"/>
          <w:color w:val="000000" w:themeColor="text1"/>
          <w:szCs w:val="22"/>
        </w:rPr>
        <w:t>“, každý samostatně také jako „</w:t>
      </w:r>
      <w:r>
        <w:rPr>
          <w:rFonts w:ascii="Cambria" w:hAnsi="Cambria"/>
          <w:b/>
          <w:color w:val="000000" w:themeColor="text1"/>
          <w:szCs w:val="22"/>
        </w:rPr>
        <w:t>Smluvní strana</w:t>
      </w:r>
      <w:r>
        <w:rPr>
          <w:rFonts w:ascii="Cambria" w:hAnsi="Cambria"/>
          <w:color w:val="000000" w:themeColor="text1"/>
          <w:szCs w:val="22"/>
        </w:rPr>
        <w:t>“)</w:t>
      </w:r>
    </w:p>
    <w:p>
      <w:pPr>
        <w:pStyle w:val="Normal"/>
        <w:rPr>
          <w:szCs w:val="22"/>
        </w:rPr>
      </w:pPr>
      <w:r>
        <w:rPr>
          <w:szCs w:val="22"/>
        </w:rPr>
      </w:r>
    </w:p>
    <w:p>
      <w:pPr>
        <w:pStyle w:val="ListParagraph"/>
        <w:widowControl w:val="false"/>
        <w:tabs>
          <w:tab w:val="clear" w:pos="708"/>
          <w:tab w:val="left" w:pos="1076" w:leader="none"/>
          <w:tab w:val="left" w:pos="1134" w:leader="none"/>
          <w:tab w:val="left" w:pos="1642" w:leader="none"/>
          <w:tab w:val="left" w:pos="2208" w:leader="none"/>
          <w:tab w:val="left" w:pos="2776" w:leader="none"/>
          <w:tab w:val="left" w:pos="3342" w:leader="none"/>
          <w:tab w:val="left" w:pos="3910" w:leader="none"/>
          <w:tab w:val="left" w:pos="4476" w:leader="none"/>
          <w:tab w:val="left" w:pos="5044" w:leader="none"/>
          <w:tab w:val="left" w:pos="5610" w:leader="none"/>
          <w:tab w:val="right" w:pos="6176" w:leader="none"/>
          <w:tab w:val="left" w:pos="6744" w:leader="none"/>
          <w:tab w:val="left" w:pos="7310" w:leader="none"/>
          <w:tab w:val="decimal" w:pos="7878" w:leader="none"/>
          <w:tab w:val="left" w:pos="8444" w:leader="none"/>
          <w:tab w:val="left" w:pos="9012" w:leader="none"/>
        </w:tabs>
        <w:ind w:left="720" w:hanging="0"/>
        <w:jc w:val="both"/>
        <w:rPr>
          <w:b/>
          <w:b/>
          <w:szCs w:val="22"/>
        </w:rPr>
      </w:pPr>
      <w:r>
        <w:rPr>
          <w:b/>
          <w:szCs w:val="22"/>
        </w:rPr>
      </w:r>
    </w:p>
    <w:p>
      <w:pPr>
        <w:pStyle w:val="Normal"/>
        <w:widowControl w:val="false"/>
        <w:jc w:val="both"/>
        <w:rPr>
          <w:rFonts w:ascii="Cambria" w:hAnsi="Cambria"/>
          <w:color w:val="000000" w:themeColor="text1"/>
          <w:szCs w:val="22"/>
        </w:rPr>
      </w:pPr>
      <w:r>
        <w:rPr>
          <w:rFonts w:ascii="Cambria" w:hAnsi="Cambria"/>
          <w:b/>
          <w:caps/>
          <w:szCs w:val="22"/>
        </w:rPr>
        <w:t xml:space="preserve">uzavírají spolu, v soulaDu s ustanoveníM § 2053 a násl. zákona č. 89/2012 Sb., občanský zákoník (dále jen „OZ“), tuto dohodu o uznání dluhu </w:t>
      </w:r>
      <w:r>
        <w:rPr>
          <w:rStyle w:val="BodyChar"/>
          <w:rFonts w:ascii="Cambria" w:hAnsi="Cambria"/>
          <w:szCs w:val="22"/>
        </w:rPr>
        <w:t>(dále jen „</w:t>
      </w:r>
      <w:r>
        <w:rPr>
          <w:rStyle w:val="BodyChar"/>
          <w:rFonts w:ascii="Cambria" w:hAnsi="Cambria"/>
          <w:b/>
          <w:szCs w:val="22"/>
        </w:rPr>
        <w:t>Smlouva</w:t>
      </w:r>
      <w:r>
        <w:rPr>
          <w:rStyle w:val="BodyChar"/>
          <w:rFonts w:ascii="Cambria" w:hAnsi="Cambria"/>
          <w:szCs w:val="22"/>
        </w:rPr>
        <w:t>“):</w:t>
      </w:r>
    </w:p>
    <w:p>
      <w:pPr>
        <w:pStyle w:val="Nadpis1"/>
        <w:keepNext w:val="false"/>
        <w:widowControl w:val="false"/>
        <w:jc w:val="both"/>
        <w:rPr>
          <w:szCs w:val="22"/>
        </w:rPr>
      </w:pPr>
      <w:bookmarkStart w:id="0" w:name="_Toc409269580"/>
      <w:r>
        <w:rPr>
          <w:szCs w:val="22"/>
        </w:rPr>
        <w:t xml:space="preserve">Preambule </w:t>
      </w:r>
      <w:bookmarkEnd w:id="0"/>
    </w:p>
    <w:p>
      <w:pPr>
        <w:pStyle w:val="Nadpis2"/>
        <w:rPr>
          <w:b/>
          <w:b/>
        </w:rPr>
      </w:pPr>
      <w:r>
        <w:rPr/>
        <w:t>Společnost Novoměstská teplárenská a.s., IČ 253 35 057, se sídlem Hornická 973, 592 31 Nové Město na Moravě, se sloučila se zanikající společností Cogen CZ a.s., IČ 256 09 645, se sídlem Hornická 973, 592 31 Nové Město na Moravě. Na nástupnickou společnost Novoměstská teplárenská a.s., IČ 253 35 057, se sídlem Hornická 973, 592 31 Nové Město na Moravě, přešlo jmění zanikající společnosti Cogen CZ a.s., IČ 256 09 645, se sídlem Hornická 973, 592 31 Nové Město na Moravě. Rozhodný den fúze sloučením je 1.1.2022. Fúze byla zapsána do obchodního rejstříku dne 18. 12. 2022. (dále jen „</w:t>
      </w:r>
      <w:r>
        <w:rPr>
          <w:b/>
          <w:bCs/>
        </w:rPr>
        <w:t>Fúze</w:t>
      </w:r>
      <w:r>
        <w:rPr/>
        <w:t>“).</w:t>
      </w:r>
    </w:p>
    <w:p>
      <w:pPr>
        <w:pStyle w:val="Nadpis2"/>
        <w:rPr>
          <w:b/>
          <w:b/>
        </w:rPr>
      </w:pPr>
      <w:r>
        <w:rPr>
          <w:bCs/>
        </w:rPr>
        <w:t>V důsledku fúze došlo ke vzniku práva Věřitele jakožto akcionáře Dlužníka na dorovnání ve výši 115.600,-Kč ve smyslu ustanovení § 45 a násl. zákona č. 125/2008 Sb., o přeměnách obchodních společností a družstev.</w:t>
      </w:r>
    </w:p>
    <w:p>
      <w:pPr>
        <w:pStyle w:val="Nadpis1"/>
        <w:keepNext w:val="false"/>
        <w:widowControl w:val="false"/>
        <w:jc w:val="both"/>
        <w:rPr>
          <w:szCs w:val="22"/>
        </w:rPr>
      </w:pPr>
      <w:bookmarkStart w:id="1" w:name="_Ref413259077"/>
      <w:bookmarkStart w:id="2" w:name="_Toc242713027"/>
      <w:bookmarkStart w:id="3" w:name="_Toc226449856"/>
      <w:bookmarkStart w:id="4" w:name="_Toc224465264"/>
      <w:bookmarkStart w:id="5" w:name="_Toc450250614"/>
      <w:bookmarkStart w:id="6" w:name="_Toc380154233"/>
      <w:bookmarkStart w:id="7" w:name="_Toc358192965"/>
      <w:bookmarkStart w:id="8" w:name="_Toc260143244"/>
      <w:bookmarkStart w:id="9" w:name="_Toc259203914"/>
      <w:bookmarkStart w:id="10" w:name="_Toc228158151"/>
      <w:bookmarkStart w:id="11" w:name="_Toc225664020"/>
      <w:bookmarkStart w:id="12" w:name="_Toc475964053"/>
      <w:bookmarkStart w:id="13" w:name="_Toc413236286"/>
      <w:bookmarkStart w:id="14" w:name="_Toc398295230"/>
      <w:bookmarkStart w:id="15" w:name="_Toc390790350"/>
      <w:bookmarkStart w:id="16" w:name="_Toc245799467"/>
      <w:bookmarkStart w:id="17" w:name="_Toc475964048"/>
      <w:bookmarkStart w:id="18" w:name="_Toc413236283"/>
      <w:bookmarkStart w:id="19" w:name="_Toc485718402"/>
      <w:bookmarkStart w:id="20" w:name="_Toc48571400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szCs w:val="22"/>
        </w:rPr>
        <w:t>Uznání dluhu</w:t>
      </w:r>
    </w:p>
    <w:p>
      <w:pPr>
        <w:pStyle w:val="Nadpis2"/>
        <w:widowControl w:val="false"/>
        <w:rPr/>
      </w:pPr>
      <w:bookmarkStart w:id="21" w:name="_Toc4759640481"/>
      <w:bookmarkStart w:id="22" w:name="_Toc4132362831"/>
      <w:bookmarkStart w:id="23" w:name="_Toc475964049"/>
      <w:bookmarkStart w:id="24" w:name="_Toc413397504"/>
      <w:bookmarkStart w:id="25" w:name="_Toc413236284"/>
      <w:bookmarkEnd w:id="21"/>
      <w:bookmarkEnd w:id="22"/>
      <w:bookmarkEnd w:id="23"/>
      <w:bookmarkEnd w:id="24"/>
      <w:bookmarkEnd w:id="25"/>
      <w:r>
        <w:rPr/>
        <w:t xml:space="preserve">Dlužník tímto uznává vůči Věřiteli dluh ve výši 115.600,-Kč (slovy: jedno sto patnáct tisíc šest set korun českých) co do důvodu (právo na dorovnání vyplývající z Fúze).  </w:t>
      </w:r>
    </w:p>
    <w:p>
      <w:pPr>
        <w:pStyle w:val="Nadpis2"/>
        <w:rPr/>
      </w:pPr>
      <w:bookmarkStart w:id="26" w:name="_Ref4132590771"/>
      <w:bookmarkStart w:id="27" w:name="_Toc2427130271"/>
      <w:bookmarkStart w:id="28" w:name="_Toc2264498561"/>
      <w:bookmarkStart w:id="29" w:name="_Toc2244652641"/>
      <w:bookmarkStart w:id="30" w:name="_Toc4502506141"/>
      <w:bookmarkStart w:id="31" w:name="_Toc3801542331"/>
      <w:bookmarkStart w:id="32" w:name="_Toc3581929651"/>
      <w:bookmarkStart w:id="33" w:name="_Toc2601432441"/>
      <w:bookmarkStart w:id="34" w:name="_Toc2592039141"/>
      <w:bookmarkStart w:id="35" w:name="_Toc2281581511"/>
      <w:bookmarkStart w:id="36" w:name="_Toc2256640201"/>
      <w:bookmarkStart w:id="37" w:name="_Toc4759640531"/>
      <w:bookmarkStart w:id="38" w:name="_Toc4132362861"/>
      <w:bookmarkStart w:id="39" w:name="_Toc3982952301"/>
      <w:bookmarkStart w:id="40" w:name="_Toc3907903501"/>
      <w:bookmarkStart w:id="41" w:name="_Toc2457994671"/>
      <w:bookmarkStart w:id="42" w:name="_Toc4759640491"/>
      <w:bookmarkStart w:id="43" w:name="_Toc4133975041"/>
      <w:bookmarkStart w:id="44" w:name="_Toc4132362841"/>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t>Věřitel s uznáním dluhu dle odst. 2.1 této Smlouvy ze strany Dlužníka souhlasí.</w:t>
      </w:r>
    </w:p>
    <w:p>
      <w:pPr>
        <w:pStyle w:val="Nadpis2"/>
        <w:rPr/>
      </w:pPr>
      <w:r>
        <w:rPr/>
        <w:t>Věřitel a Dlužník se dohodli, že Dlužník uhradí dluh dle odst. 2.1 Věřiteli do 31.12.2023, a to na účet Věřitele</w:t>
      </w:r>
      <w:r>
        <w:rPr>
          <w:color w:val="auto"/>
        </w:rPr>
        <w:t xml:space="preserve"> č. 19-1224751/0100. </w:t>
      </w:r>
    </w:p>
    <w:p>
      <w:pPr>
        <w:pStyle w:val="Nadpis1"/>
        <w:rPr/>
      </w:pPr>
      <w:r>
        <w:rPr/>
        <w:t>Závěrečná ujednání</w:t>
      </w:r>
      <w:bookmarkStart w:id="45" w:name="_Toc59032923"/>
      <w:bookmarkEnd w:id="45"/>
    </w:p>
    <w:p>
      <w:pPr>
        <w:pStyle w:val="Nadpis2"/>
        <w:rPr/>
      </w:pPr>
      <w:r>
        <w:rPr/>
        <w:t>Tato Smlouva nabývá platnosti a účinnosti okamžikem jejího uzavření.</w:t>
      </w:r>
    </w:p>
    <w:p>
      <w:pPr>
        <w:pStyle w:val="Nadpis2"/>
        <w:rPr>
          <w:color w:val="auto"/>
        </w:rPr>
      </w:pPr>
      <w:r>
        <w:rPr>
          <w:rFonts w:eastAsia="Arial" w:cs="Arial"/>
          <w:color w:val="auto"/>
          <w:sz w:val="22"/>
          <w:szCs w:val="22"/>
        </w:rPr>
        <w:t>Tato smlouva byla projednána  na schůzi Rady města Nové Město na Moravě č. ........... konané dne  .................... 2023 a schválena usnesením přijatým pod bodem č. ..…..../....…..../RM/2023.</w:t>
      </w:r>
    </w:p>
    <w:p>
      <w:pPr>
        <w:pStyle w:val="Nadpis2"/>
        <w:rPr>
          <w:color w:val="auto"/>
        </w:rPr>
      </w:pPr>
      <w:r>
        <w:rPr>
          <w:rFonts w:eastAsia="Arial" w:cs="Arial"/>
          <w:color w:val="auto"/>
          <w:sz w:val="22"/>
          <w:szCs w:val="22"/>
        </w:rPr>
        <w:t xml:space="preserve">Dlužník </w:t>
      </w:r>
      <w:r>
        <w:rPr>
          <w:rFonts w:cs="Arial"/>
          <w:color w:val="auto"/>
          <w:sz w:val="22"/>
          <w:szCs w:val="22"/>
        </w:rPr>
        <w:t xml:space="preserve">podpisem této smlouvy souhlasí s uveřejněním celého textu této smlouvy v registru smluv dle zákona č. 340/2015 Sb., o zvláštních podmínkách účinnosti některých smluv uveřejňování těchto smluv a o registru smluv ("zákon o registru smluv").  </w:t>
      </w:r>
    </w:p>
    <w:p>
      <w:pPr>
        <w:pStyle w:val="Nadpis2"/>
        <w:widowControl w:val="false"/>
        <w:rPr>
          <w:color w:val="auto"/>
        </w:rPr>
      </w:pPr>
      <w:r>
        <w:rPr>
          <w:rFonts w:cs="Arial"/>
          <w:color w:val="auto"/>
          <w:sz w:val="22"/>
          <w:szCs w:val="22"/>
        </w:rPr>
        <w:t xml:space="preserve">Smluvní strany se dohodly, že stranou povinnou k uveřejnění této smlouvy v centrálním registru smluv  podle zákona č. 340/2015 Sb., o zvláštních podmínkách účinnosti některých smluv, uveřejňování těchto smluv a o registru smluv ("zákon o registru smluv") je věřitel, který je povinen tuto smlouvu bez zbytečného odkladu, nejpozději však do 30 dnů od uzavření smlouvy, odeslat k uveřejnění v registru smluv.  </w:t>
      </w:r>
    </w:p>
    <w:p>
      <w:pPr>
        <w:pStyle w:val="Nadpis2"/>
        <w:widowControl w:val="false"/>
        <w:rPr/>
      </w:pPr>
      <w:r>
        <w:rPr/>
        <w:t xml:space="preserve">Práva a povinnosti Smluvních stran neřešené touto Smlouvou se řídí OZ. </w:t>
      </w:r>
    </w:p>
    <w:p>
      <w:pPr>
        <w:pStyle w:val="Nadpis2"/>
        <w:widowControl w:val="false"/>
        <w:rPr/>
      </w:pPr>
      <w:r>
        <w:rPr/>
        <w:t>Tato Smlouva může být měněna pouze písemnými dodatky. Za písemnou formu se pro tento účel nepovažuje výměna e-mailových či jiných elektronických zpráv.</w:t>
      </w:r>
    </w:p>
    <w:p>
      <w:pPr>
        <w:pStyle w:val="Nadpis2"/>
        <w:widowControl w:val="false"/>
        <w:rPr/>
      </w:pPr>
      <w:r>
        <w:rPr/>
        <w:t xml:space="preserve">Pokud by se kterékoliv ustanovení této Smlouvy ukázalo být neplatným z důvodu rozporu s kogentním ustanovením právního předpisu či ustanovením nevynutitelným, pak tato skutečnost nepůsobí než neplatnost nebo nevynutitelnost onoho konkrétního ustanovení, pokud je oddělitelné od ostatního obsahu Smlouvy a nezpůsobuje neplatnost této Smlouvy. Smluvní strany se zavazují takové neplatné nebo nevynutitelné ustanovení nahradit dohodou svým obsahem nejbližší tohoto ustanovení. </w:t>
      </w:r>
    </w:p>
    <w:p>
      <w:pPr>
        <w:pStyle w:val="Nadpis2"/>
        <w:widowControl w:val="false"/>
        <w:rPr>
          <w:b/>
          <w:b/>
          <w:color w:val="000000" w:themeColor="text1"/>
        </w:rPr>
      </w:pPr>
      <w:r>
        <w:rPr/>
        <w:t>Smluvní strany výslovně potvrzují, že základní podmínky této Smlouvy jsou výsledkem jednání Smluvních stran a každá ze Smluvních stran měla příležitost ovlivnit obsah základních podmínek této Smlouvy.</w:t>
      </w:r>
    </w:p>
    <w:p>
      <w:pPr>
        <w:pStyle w:val="Nadpis2"/>
        <w:widowControl w:val="false"/>
        <w:rPr>
          <w:b/>
          <w:b/>
          <w:color w:val="000000" w:themeColor="text1"/>
        </w:rPr>
      </w:pPr>
      <w:r>
        <w:rPr>
          <w:color w:val="000000" w:themeColor="text1"/>
        </w:rPr>
        <w:t>Tato Smlouva se vyhotovuje v celkem 2 (slovy: dvou) vyhotoveních. Věřitel obdrží po podpisu této Smlouvy 1 (slovy: jedno) vyhotovení, Dlužník obdrží po podpisu této Smlouvy 1 (slovy: jedno) vyhotovení.</w:t>
      </w:r>
    </w:p>
    <w:p>
      <w:pPr>
        <w:pStyle w:val="Nadpis2"/>
        <w:widowControl w:val="false"/>
        <w:rPr/>
      </w:pPr>
      <w:r>
        <w:rPr/>
        <w:t xml:space="preserve">Smluvní strany prohlašují, že jsou plně svéprávné, Smlouvu si přečetly a na důkaz souhlasu s jejím obsahem připojují své podpisy. </w:t>
      </w:r>
    </w:p>
    <w:p>
      <w:pPr>
        <w:pStyle w:val="Normal"/>
        <w:widowControl w:val="false"/>
        <w:tabs>
          <w:tab w:val="clear" w:pos="708"/>
          <w:tab w:val="left" w:pos="0" w:leader="none"/>
          <w:tab w:val="left" w:pos="1134" w:leader="none"/>
        </w:tabs>
        <w:jc w:val="both"/>
        <w:rPr>
          <w:rFonts w:ascii="Cambria" w:hAnsi="Cambria"/>
          <w:b/>
          <w:b/>
          <w:color w:val="FF0000"/>
          <w:szCs w:val="22"/>
        </w:rPr>
      </w:pPr>
      <w:r>
        <w:rPr>
          <w:rFonts w:ascii="Cambria" w:hAnsi="Cambria"/>
          <w:b/>
          <w:color w:val="FF0000"/>
          <w:szCs w:val="22"/>
        </w:rPr>
      </w:r>
    </w:p>
    <w:p>
      <w:pPr>
        <w:pStyle w:val="Normal"/>
        <w:widowControl w:val="false"/>
        <w:tabs>
          <w:tab w:val="clear" w:pos="708"/>
          <w:tab w:val="left" w:pos="851" w:leader="none"/>
          <w:tab w:val="left" w:pos="4820" w:leader="none"/>
          <w:tab w:val="left" w:pos="6096" w:leader="none"/>
        </w:tabs>
        <w:rPr>
          <w:rFonts w:ascii="Cambria" w:hAnsi="Cambria"/>
          <w:color w:val="000000" w:themeColor="text1"/>
          <w:szCs w:val="22"/>
        </w:rPr>
      </w:pPr>
      <w:r>
        <w:rPr>
          <w:rFonts w:ascii="Cambria" w:hAnsi="Cambria"/>
          <w:color w:val="000000" w:themeColor="text1"/>
          <w:szCs w:val="22"/>
        </w:rPr>
      </w:r>
    </w:p>
    <w:p>
      <w:pPr>
        <w:pStyle w:val="Normal"/>
        <w:widowControl w:val="false"/>
        <w:tabs>
          <w:tab w:val="clear" w:pos="708"/>
          <w:tab w:val="left" w:pos="851" w:leader="none"/>
          <w:tab w:val="left" w:pos="4820" w:leader="none"/>
          <w:tab w:val="left" w:pos="6096" w:leader="none"/>
        </w:tabs>
        <w:jc w:val="both"/>
        <w:rPr>
          <w:rFonts w:ascii="Cambria" w:hAnsi="Cambria"/>
          <w:color w:val="000000" w:themeColor="text1"/>
          <w:szCs w:val="22"/>
        </w:rPr>
      </w:pPr>
      <w:r>
        <w:rPr>
          <w:rFonts w:ascii="Cambria" w:hAnsi="Cambria"/>
          <w:b/>
          <w:color w:val="000000" w:themeColor="text1"/>
          <w:szCs w:val="22"/>
        </w:rPr>
        <w:t>Smluvní strany tímto výslovně prohlašují, že tato Smlouva vyjadřuje jejich pravou a svobodnou vůli, na důkaz čehož připojují níže své podpisy.</w:t>
      </w:r>
    </w:p>
    <w:tbl>
      <w:tblPr>
        <w:tblW w:w="90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17"/>
        <w:gridCol w:w="4553"/>
      </w:tblGrid>
      <w:tr>
        <w:trPr/>
        <w:tc>
          <w:tcPr>
            <w:tcW w:w="4517" w:type="dxa"/>
            <w:tcBorders/>
          </w:tcPr>
          <w:p>
            <w:pPr>
              <w:pStyle w:val="Normal"/>
              <w:widowControl w:val="false"/>
              <w:tabs>
                <w:tab w:val="clear" w:pos="708"/>
                <w:tab w:val="left" w:pos="851" w:leader="none"/>
                <w:tab w:val="left" w:pos="4820" w:leader="none"/>
                <w:tab w:val="left" w:pos="6096" w:leader="none"/>
              </w:tabs>
              <w:rPr>
                <w:rFonts w:ascii="Cambria" w:hAnsi="Cambria"/>
                <w:b/>
                <w:b/>
                <w:color w:val="auto"/>
                <w:szCs w:val="22"/>
              </w:rPr>
            </w:pPr>
            <w:r>
              <w:rPr>
                <w:rFonts w:ascii="Cambria" w:hAnsi="Cambria"/>
                <w:b/>
                <w:color w:val="auto"/>
                <w:szCs w:val="22"/>
              </w:rPr>
            </w:r>
          </w:p>
        </w:tc>
        <w:tc>
          <w:tcPr>
            <w:tcW w:w="4553" w:type="dxa"/>
            <w:tcBorders/>
          </w:tcPr>
          <w:p>
            <w:pPr>
              <w:pStyle w:val="Normal"/>
              <w:widowControl w:val="false"/>
              <w:tabs>
                <w:tab w:val="clear" w:pos="708"/>
                <w:tab w:val="left" w:pos="851" w:leader="none"/>
                <w:tab w:val="left" w:pos="4820" w:leader="none"/>
                <w:tab w:val="left" w:pos="6096" w:leader="none"/>
              </w:tabs>
              <w:rPr>
                <w:rFonts w:ascii="Cambria" w:hAnsi="Cambria"/>
                <w:b/>
                <w:b/>
                <w:color w:val="auto"/>
                <w:szCs w:val="22"/>
              </w:rPr>
            </w:pPr>
            <w:r>
              <w:rPr>
                <w:rFonts w:ascii="Cambria" w:hAnsi="Cambria"/>
                <w:b/>
                <w:color w:val="auto"/>
                <w:szCs w:val="22"/>
              </w:rPr>
            </w:r>
          </w:p>
        </w:tc>
      </w:tr>
      <w:tr>
        <w:trPr>
          <w:trHeight w:val="642" w:hRule="atLeast"/>
        </w:trPr>
        <w:tc>
          <w:tcPr>
            <w:tcW w:w="4517" w:type="dxa"/>
            <w:tcBorders/>
          </w:tcPr>
          <w:p>
            <w:pPr>
              <w:pStyle w:val="Normal"/>
              <w:widowControl w:val="false"/>
              <w:tabs>
                <w:tab w:val="clear" w:pos="708"/>
                <w:tab w:val="left" w:pos="851" w:leader="none"/>
                <w:tab w:val="left" w:pos="4820" w:leader="none"/>
                <w:tab w:val="left" w:pos="6096" w:leader="none"/>
              </w:tabs>
              <w:rPr>
                <w:rFonts w:ascii="Cambria" w:hAnsi="Cambria"/>
                <w:color w:val="auto"/>
                <w:szCs w:val="22"/>
              </w:rPr>
            </w:pPr>
            <w:r>
              <w:rPr>
                <w:rFonts w:ascii="Cambria" w:hAnsi="Cambria"/>
                <w:color w:val="auto"/>
                <w:szCs w:val="22"/>
              </w:rPr>
              <w:t>Místo: Nové Město na Moravě</w:t>
            </w:r>
          </w:p>
          <w:p>
            <w:pPr>
              <w:pStyle w:val="Normal"/>
              <w:widowControl w:val="false"/>
              <w:tabs>
                <w:tab w:val="clear" w:pos="708"/>
                <w:tab w:val="left" w:pos="851" w:leader="none"/>
                <w:tab w:val="left" w:pos="4820" w:leader="none"/>
                <w:tab w:val="left" w:pos="6096" w:leader="none"/>
              </w:tabs>
              <w:rPr>
                <w:rFonts w:ascii="Cambria" w:hAnsi="Cambria"/>
                <w:color w:val="auto"/>
                <w:szCs w:val="22"/>
              </w:rPr>
            </w:pPr>
            <w:r>
              <w:rPr>
                <w:rFonts w:ascii="Cambria" w:hAnsi="Cambria"/>
                <w:color w:val="auto"/>
                <w:szCs w:val="22"/>
              </w:rPr>
              <w:t>Datum: 20.2.2023</w:t>
            </w:r>
          </w:p>
          <w:p>
            <w:pPr>
              <w:pStyle w:val="Normal"/>
              <w:widowControl w:val="false"/>
              <w:tabs>
                <w:tab w:val="clear" w:pos="708"/>
                <w:tab w:val="left" w:pos="851" w:leader="none"/>
                <w:tab w:val="left" w:pos="4820" w:leader="none"/>
                <w:tab w:val="left" w:pos="6096" w:leader="none"/>
              </w:tabs>
              <w:rPr>
                <w:rFonts w:ascii="Cambria" w:hAnsi="Cambria"/>
                <w:color w:val="auto"/>
                <w:szCs w:val="22"/>
              </w:rPr>
            </w:pPr>
            <w:r>
              <w:rPr>
                <w:rFonts w:ascii="Cambria" w:hAnsi="Cambria"/>
                <w:color w:val="auto"/>
                <w:szCs w:val="22"/>
              </w:rPr>
            </w:r>
          </w:p>
          <w:p>
            <w:pPr>
              <w:pStyle w:val="Normal"/>
              <w:widowControl w:val="false"/>
              <w:tabs>
                <w:tab w:val="clear" w:pos="708"/>
                <w:tab w:val="left" w:pos="851" w:leader="none"/>
                <w:tab w:val="left" w:pos="4820" w:leader="none"/>
                <w:tab w:val="left" w:pos="6096" w:leader="none"/>
              </w:tabs>
              <w:rPr>
                <w:rFonts w:ascii="Cambria" w:hAnsi="Cambria"/>
                <w:color w:val="auto"/>
                <w:szCs w:val="22"/>
                <w:u w:val="none"/>
              </w:rPr>
            </w:pPr>
            <w:r>
              <w:rPr>
                <w:rFonts w:ascii="Cambria" w:hAnsi="Cambria"/>
                <w:color w:val="auto"/>
                <w:szCs w:val="22"/>
                <w:u w:val="none"/>
              </w:rPr>
            </w:r>
          </w:p>
          <w:p>
            <w:pPr>
              <w:pStyle w:val="Normal"/>
              <w:widowControl w:val="false"/>
              <w:tabs>
                <w:tab w:val="clear" w:pos="708"/>
                <w:tab w:val="left" w:pos="851" w:leader="none"/>
                <w:tab w:val="left" w:pos="4820" w:leader="none"/>
                <w:tab w:val="left" w:pos="6096" w:leader="none"/>
              </w:tabs>
              <w:rPr>
                <w:rFonts w:ascii="Cambria" w:hAnsi="Cambria"/>
                <w:color w:val="auto"/>
                <w:szCs w:val="22"/>
                <w:u w:val="none"/>
              </w:rPr>
            </w:pPr>
            <w:r>
              <w:rPr>
                <w:rFonts w:ascii="Cambria" w:hAnsi="Cambria"/>
                <w:color w:val="auto"/>
                <w:szCs w:val="22"/>
                <w:u w:val="none"/>
              </w:rPr>
            </w:r>
          </w:p>
          <w:p>
            <w:pPr>
              <w:pStyle w:val="Normal"/>
              <w:widowControl w:val="false"/>
              <w:tabs>
                <w:tab w:val="clear" w:pos="708"/>
                <w:tab w:val="left" w:pos="851" w:leader="none"/>
                <w:tab w:val="left" w:pos="4820" w:leader="none"/>
                <w:tab w:val="left" w:pos="6096" w:leader="none"/>
              </w:tabs>
              <w:rPr>
                <w:rFonts w:ascii="Cambria" w:hAnsi="Cambria"/>
                <w:color w:val="auto"/>
                <w:szCs w:val="22"/>
                <w:u w:val="none"/>
              </w:rPr>
            </w:pPr>
            <w:r>
              <w:rPr>
                <w:rFonts w:ascii="Cambria" w:hAnsi="Cambria"/>
                <w:color w:val="auto"/>
                <w:szCs w:val="22"/>
                <w:u w:val="none"/>
              </w:rPr>
            </w:r>
          </w:p>
        </w:tc>
        <w:tc>
          <w:tcPr>
            <w:tcW w:w="4553" w:type="dxa"/>
            <w:tcBorders/>
          </w:tcPr>
          <w:p>
            <w:pPr>
              <w:pStyle w:val="Normal"/>
              <w:widowControl w:val="false"/>
              <w:tabs>
                <w:tab w:val="clear" w:pos="708"/>
                <w:tab w:val="left" w:pos="851" w:leader="none"/>
                <w:tab w:val="left" w:pos="4820" w:leader="none"/>
                <w:tab w:val="left" w:pos="6096" w:leader="none"/>
              </w:tabs>
              <w:rPr>
                <w:rFonts w:ascii="Cambria" w:hAnsi="Cambria"/>
                <w:color w:val="auto"/>
                <w:szCs w:val="22"/>
              </w:rPr>
            </w:pPr>
            <w:r>
              <w:rPr>
                <w:rFonts w:ascii="Cambria" w:hAnsi="Cambria"/>
                <w:color w:val="auto"/>
                <w:szCs w:val="22"/>
              </w:rPr>
              <w:t>Místo: Nové Město na Moravě</w:t>
            </w:r>
          </w:p>
          <w:p>
            <w:pPr>
              <w:pStyle w:val="Normal"/>
              <w:widowControl w:val="false"/>
              <w:tabs>
                <w:tab w:val="clear" w:pos="708"/>
                <w:tab w:val="left" w:pos="851" w:leader="none"/>
                <w:tab w:val="left" w:pos="4820" w:leader="none"/>
                <w:tab w:val="left" w:pos="6096" w:leader="none"/>
              </w:tabs>
              <w:rPr>
                <w:rFonts w:ascii="Cambria" w:hAnsi="Cambria"/>
                <w:color w:val="auto"/>
                <w:szCs w:val="22"/>
              </w:rPr>
            </w:pPr>
            <w:r>
              <w:rPr>
                <w:rFonts w:ascii="Cambria" w:hAnsi="Cambria"/>
                <w:color w:val="auto"/>
                <w:szCs w:val="22"/>
              </w:rPr>
              <w:t xml:space="preserve">Datum: </w:t>
            </w:r>
            <w:r>
              <w:rPr>
                <w:rFonts w:ascii="Cambria" w:hAnsi="Cambria"/>
                <w:color w:val="auto"/>
                <w:szCs w:val="22"/>
              </w:rPr>
              <w:t>20.03.2023</w:t>
            </w:r>
          </w:p>
          <w:p>
            <w:pPr>
              <w:pStyle w:val="Normal"/>
              <w:widowControl w:val="false"/>
              <w:tabs>
                <w:tab w:val="clear" w:pos="708"/>
                <w:tab w:val="left" w:pos="851" w:leader="none"/>
                <w:tab w:val="left" w:pos="4820" w:leader="none"/>
                <w:tab w:val="left" w:pos="6096" w:leader="none"/>
              </w:tabs>
              <w:rPr>
                <w:rFonts w:ascii="Cambria" w:hAnsi="Cambria"/>
                <w:color w:val="auto"/>
                <w:szCs w:val="22"/>
              </w:rPr>
            </w:pPr>
            <w:r>
              <w:rPr>
                <w:rFonts w:ascii="Cambria" w:hAnsi="Cambria"/>
                <w:color w:val="auto"/>
                <w:szCs w:val="22"/>
              </w:rPr>
            </w:r>
          </w:p>
          <w:p>
            <w:pPr>
              <w:pStyle w:val="Normal"/>
              <w:widowControl w:val="false"/>
              <w:tabs>
                <w:tab w:val="clear" w:pos="708"/>
                <w:tab w:val="left" w:pos="851" w:leader="none"/>
                <w:tab w:val="left" w:pos="4820" w:leader="none"/>
                <w:tab w:val="left" w:pos="6096" w:leader="none"/>
              </w:tabs>
              <w:rPr>
                <w:rFonts w:ascii="Cambria" w:hAnsi="Cambria"/>
                <w:color w:val="auto"/>
                <w:szCs w:val="22"/>
              </w:rPr>
            </w:pPr>
            <w:r>
              <w:rPr>
                <w:rFonts w:ascii="Cambria" w:hAnsi="Cambria"/>
                <w:color w:val="auto"/>
                <w:szCs w:val="22"/>
              </w:rPr>
            </w:r>
          </w:p>
          <w:p>
            <w:pPr>
              <w:pStyle w:val="Normal"/>
              <w:widowControl w:val="false"/>
              <w:tabs>
                <w:tab w:val="clear" w:pos="708"/>
                <w:tab w:val="left" w:pos="851" w:leader="none"/>
                <w:tab w:val="left" w:pos="4820" w:leader="none"/>
                <w:tab w:val="left" w:pos="6096" w:leader="none"/>
              </w:tabs>
              <w:rPr>
                <w:rFonts w:ascii="Cambria" w:hAnsi="Cambria"/>
                <w:color w:val="auto"/>
                <w:szCs w:val="22"/>
                <w:u w:val="none"/>
              </w:rPr>
            </w:pPr>
            <w:r>
              <w:rPr>
                <w:rFonts w:ascii="Cambria" w:hAnsi="Cambria"/>
                <w:color w:val="auto"/>
                <w:szCs w:val="22"/>
                <w:u w:val="none"/>
              </w:rPr>
            </w:r>
          </w:p>
          <w:p>
            <w:pPr>
              <w:pStyle w:val="Normal"/>
              <w:widowControl w:val="false"/>
              <w:tabs>
                <w:tab w:val="clear" w:pos="708"/>
                <w:tab w:val="left" w:pos="851" w:leader="none"/>
                <w:tab w:val="left" w:pos="4820" w:leader="none"/>
                <w:tab w:val="left" w:pos="6096" w:leader="none"/>
              </w:tabs>
              <w:rPr>
                <w:rFonts w:ascii="Cambria" w:hAnsi="Cambria"/>
                <w:color w:val="auto"/>
                <w:szCs w:val="22"/>
                <w:u w:val="none"/>
              </w:rPr>
            </w:pPr>
            <w:r>
              <w:rPr>
                <w:rFonts w:ascii="Cambria" w:hAnsi="Cambria"/>
                <w:color w:val="auto"/>
                <w:szCs w:val="22"/>
                <w:u w:val="none"/>
              </w:rPr>
            </w:r>
          </w:p>
          <w:p>
            <w:pPr>
              <w:pStyle w:val="Normal"/>
              <w:widowControl w:val="false"/>
              <w:tabs>
                <w:tab w:val="clear" w:pos="708"/>
                <w:tab w:val="left" w:pos="851" w:leader="none"/>
                <w:tab w:val="left" w:pos="4820" w:leader="none"/>
                <w:tab w:val="left" w:pos="6096" w:leader="none"/>
              </w:tabs>
              <w:rPr>
                <w:rFonts w:ascii="Cambria" w:hAnsi="Cambria"/>
                <w:color w:val="auto"/>
                <w:szCs w:val="22"/>
                <w:u w:val="none"/>
              </w:rPr>
            </w:pPr>
            <w:r>
              <w:rPr>
                <w:rFonts w:ascii="Cambria" w:hAnsi="Cambria"/>
                <w:color w:val="auto"/>
                <w:szCs w:val="22"/>
                <w:u w:val="none"/>
              </w:rPr>
            </w:r>
          </w:p>
        </w:tc>
      </w:tr>
      <w:tr>
        <w:trPr/>
        <w:tc>
          <w:tcPr>
            <w:tcW w:w="4517" w:type="dxa"/>
            <w:tcBorders/>
          </w:tcPr>
          <w:p>
            <w:pPr>
              <w:pStyle w:val="Normal"/>
              <w:widowControl w:val="false"/>
              <w:tabs>
                <w:tab w:val="clear" w:pos="708"/>
                <w:tab w:val="left" w:pos="851" w:leader="none"/>
                <w:tab w:val="left" w:pos="4820" w:leader="none"/>
                <w:tab w:val="left" w:pos="6096" w:leader="none"/>
              </w:tabs>
              <w:rPr>
                <w:rFonts w:ascii="Cambria" w:hAnsi="Cambria"/>
                <w:b/>
                <w:b/>
                <w:bCs/>
                <w:color w:val="auto"/>
                <w:szCs w:val="22"/>
              </w:rPr>
            </w:pPr>
            <w:r>
              <w:rPr>
                <w:rFonts w:ascii="Cambria" w:hAnsi="Cambria"/>
                <w:b/>
                <w:bCs/>
                <w:color w:val="auto"/>
                <w:szCs w:val="22"/>
              </w:rPr>
              <w:t>Novoměstská teplárenská a.s.</w:t>
            </w:r>
          </w:p>
        </w:tc>
        <w:tc>
          <w:tcPr>
            <w:tcW w:w="4553" w:type="dxa"/>
            <w:tcBorders/>
          </w:tcPr>
          <w:p>
            <w:pPr>
              <w:pStyle w:val="Normal"/>
              <w:widowControl w:val="false"/>
              <w:tabs>
                <w:tab w:val="clear" w:pos="708"/>
                <w:tab w:val="left" w:pos="851" w:leader="none"/>
                <w:tab w:val="left" w:pos="4820" w:leader="none"/>
                <w:tab w:val="left" w:pos="6096" w:leader="none"/>
              </w:tabs>
              <w:rPr>
                <w:rFonts w:ascii="Cambria" w:hAnsi="Cambria"/>
                <w:b/>
                <w:b/>
                <w:bCs/>
                <w:color w:val="auto"/>
                <w:szCs w:val="22"/>
              </w:rPr>
            </w:pPr>
            <w:r>
              <w:rPr>
                <w:rFonts w:ascii="Cambria" w:hAnsi="Cambria"/>
                <w:b/>
                <w:bCs/>
                <w:color w:val="auto"/>
                <w:szCs w:val="22"/>
              </w:rPr>
              <w:t>město Nové Město na Moravě</w:t>
            </w:r>
          </w:p>
        </w:tc>
      </w:tr>
    </w:tbl>
    <w:p>
      <w:pPr>
        <w:pStyle w:val="Normal"/>
        <w:rPr>
          <w:color w:val="auto"/>
        </w:rPr>
      </w:pPr>
      <w:r>
        <w:rPr>
          <w:color w:val="auto"/>
        </w:rPr>
        <w:t xml:space="preserve"> </w:t>
      </w:r>
      <w:r>
        <w:rPr>
          <w:color w:val="auto"/>
          <w:sz w:val="22"/>
          <w:szCs w:val="22"/>
        </w:rPr>
        <w:t xml:space="preserve"> </w:t>
      </w:r>
      <w:r>
        <w:rPr>
          <w:color w:val="auto"/>
          <w:sz w:val="22"/>
          <w:szCs w:val="22"/>
        </w:rPr>
        <w:t>zastoupena předsedou představenstva</w:t>
        <w:tab/>
        <w:tab/>
        <w:tab/>
        <w:t>zastoupeno starostou</w:t>
      </w:r>
    </w:p>
    <w:p>
      <w:pPr>
        <w:pStyle w:val="Normal"/>
        <w:rPr>
          <w:color w:val="auto"/>
        </w:rPr>
      </w:pPr>
      <w:r>
        <w:rPr>
          <w:color w:val="auto"/>
          <w:sz w:val="22"/>
          <w:szCs w:val="22"/>
        </w:rPr>
        <w:t xml:space="preserve">  </w:t>
      </w:r>
      <w:r>
        <w:rPr>
          <w:color w:val="auto"/>
          <w:sz w:val="22"/>
          <w:szCs w:val="22"/>
        </w:rPr>
        <w:t>Ondřejem Pekárkem, MSc.</w:t>
        <w:tab/>
        <w:tab/>
        <w:tab/>
        <w:tab/>
        <w:t xml:space="preserve">Michalem Šmardou </w:t>
      </w:r>
    </w:p>
    <w:sectPr>
      <w:headerReference w:type="default" r:id="rId2"/>
      <w:headerReference w:type="first" r:id="rId3"/>
      <w:footerReference w:type="default" r:id="rId4"/>
      <w:footerReference w:type="first" r:id="rId5"/>
      <w:type w:val="nextPage"/>
      <w:pgSz w:w="11906" w:h="16838"/>
      <w:pgMar w:left="1417" w:right="1417" w:header="708" w:top="1417" w:footer="708" w:bottom="1417" w:gutter="0"/>
      <w:pgNumType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mbria">
    <w:charset w:val="ee"/>
    <w:family w:val="roman"/>
    <w:pitch w:val="variable"/>
  </w:font>
  <w:font w:name="Arial">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mc:AlternateContent>
        <mc:Choice Requires="wps">
          <w:drawing>
            <wp:anchor behindDoc="0" distT="0" distB="0" distL="0" distR="0" simplePos="0" locked="0" layoutInCell="0" allowOverlap="1" relativeHeight="2">
              <wp:simplePos x="0" y="0"/>
              <wp:positionH relativeFrom="margin">
                <wp:align>center</wp:align>
              </wp:positionH>
              <wp:positionV relativeFrom="paragraph">
                <wp:posOffset>635</wp:posOffset>
              </wp:positionV>
              <wp:extent cx="71755" cy="160020"/>
              <wp:effectExtent l="0" t="0" r="0" b="0"/>
              <wp:wrapSquare wrapText="bothSides"/>
              <wp:docPr id="1" name="Rámec1"/>
              <a:graphic xmlns:a="http://schemas.openxmlformats.org/drawingml/2006/main">
                <a:graphicData uri="http://schemas.microsoft.com/office/word/2010/wordprocessingShape">
                  <wps:wsp>
                    <wps:cNvSpPr/>
                    <wps:spPr>
                      <a:xfrm>
                        <a:off x="0" y="0"/>
                        <a:ext cx="71280" cy="159480"/>
                      </a:xfrm>
                      <a:prstGeom prst="rect">
                        <a:avLst/>
                      </a:prstGeom>
                      <a:noFill/>
                      <a:ln w="0">
                        <a:noFill/>
                      </a:ln>
                    </wps:spPr>
                    <wps:style>
                      <a:lnRef idx="0"/>
                      <a:fillRef idx="0"/>
                      <a:effectRef idx="0"/>
                      <a:fontRef idx="minor"/>
                    </wps:style>
                    <wps:txbx>
                      <w:txbxContent>
                        <w:p>
                          <w:pPr>
                            <w:pStyle w:val="Zpat"/>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2</w:t>
                          </w:r>
                          <w:r>
                            <w:rPr>
                              <w:rStyle w:val="Pagenumber"/>
                              <w:color w:val="000000"/>
                            </w:rPr>
                            <w:fldChar w:fldCharType="end"/>
                          </w:r>
                        </w:p>
                      </w:txbxContent>
                    </wps:txbx>
                    <wps:bodyPr lIns="0" rIns="0" tIns="0" bIns="0">
                      <a:spAutoFit/>
                    </wps:bodyPr>
                  </wps:wsp>
                </a:graphicData>
              </a:graphic>
            </wp:anchor>
          </w:drawing>
        </mc:Choice>
        <mc:Fallback>
          <w:pict>
            <v:rect id="shape_0" ID="Rámec1" path="m0,0l-2147483645,0l-2147483645,-2147483646l0,-2147483646xe" stroked="f" style="position:absolute;margin-left:224pt;margin-top:0.05pt;width:5.55pt;height:12.5pt;mso-wrap-style:square;v-text-anchor:top;mso-position-horizontal:center;mso-position-horizontal-relative:margin">
              <v:fill o:detectmouseclick="t" on="false"/>
              <v:stroke color="#3465a4" joinstyle="round" endcap="flat"/>
              <v:textbox>
                <w:txbxContent>
                  <w:p>
                    <w:pPr>
                      <w:pStyle w:val="Zpat"/>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2</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decimal"/>
      <w:lvlText w:val="%1."/>
      <w:lvlJc w:val="left"/>
      <w:pPr>
        <w:tabs>
          <w:tab w:val="num" w:pos="1134"/>
        </w:tabs>
        <w:ind w:left="1134" w:hanging="1134"/>
      </w:pPr>
      <w:rPr>
        <w:rFonts w:ascii="Cambria" w:hAnsi="Cambria"/>
      </w:rPr>
    </w:lvl>
    <w:lvl w:ilvl="1">
      <w:start w:val="1"/>
      <w:pStyle w:val="Nadpis2"/>
      <w:numFmt w:val="decimal"/>
      <w:lvlText w:val="%1.%2."/>
      <w:lvlJc w:val="left"/>
      <w:pPr>
        <w:tabs>
          <w:tab w:val="num" w:pos="1134"/>
        </w:tabs>
        <w:ind w:left="1134" w:hanging="1134"/>
      </w:pPr>
      <w:rPr>
        <w:smallCaps w:val="false"/>
        <w:caps w:val="false"/>
        <w:dstrike w:val="false"/>
        <w:strike w:val="false"/>
        <w:vertAlign w:val="baseline"/>
        <w:position w:val="0"/>
        <w:sz w:val="22"/>
        <w:sz w:val="22"/>
        <w:spacing w:val="0"/>
        <w:i w:val="false"/>
        <w:u w:val="none"/>
        <w:b/>
        <w:kern w:val="0"/>
        <w:iCs w:val="false"/>
        <w:bCs w:val="false"/>
        <w:em w:val="none"/>
        <w:vanish w:val="false"/>
        <w:rFonts w:ascii="Cambria" w:hAnsi="Cambria" w:cs="Times New Roman"/>
        <w:color w:val="000000"/>
      </w:r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312" w:hanging="1170"/>
      </w:pPr>
      <w:rPr>
        <w:b/>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54e88"/>
    <w:pPr>
      <w:widowControl/>
      <w:suppressAutoHyphens w:val="true"/>
      <w:bidi w:val="0"/>
      <w:spacing w:lineRule="auto" w:line="240" w:before="0" w:after="0"/>
      <w:jc w:val="left"/>
    </w:pPr>
    <w:rPr>
      <w:rFonts w:ascii="Times New Roman" w:hAnsi="Times New Roman" w:eastAsia="Times New Roman" w:cs="Times New Roman"/>
      <w:color w:val="auto"/>
      <w:kern w:val="0"/>
      <w:sz w:val="22"/>
      <w:szCs w:val="20"/>
      <w:lang w:val="cs-CZ" w:eastAsia="cs-CZ" w:bidi="ar-SA"/>
    </w:rPr>
  </w:style>
  <w:style w:type="paragraph" w:styleId="Nadpis1">
    <w:name w:val="Heading 1"/>
    <w:basedOn w:val="Normal"/>
    <w:next w:val="Nadpis2"/>
    <w:link w:val="Nadpis1Char"/>
    <w:qFormat/>
    <w:rsid w:val="00554e88"/>
    <w:pPr>
      <w:keepNext w:val="true"/>
      <w:numPr>
        <w:ilvl w:val="0"/>
        <w:numId w:val="1"/>
      </w:numPr>
      <w:spacing w:before="240" w:after="60"/>
      <w:outlineLvl w:val="0"/>
    </w:pPr>
    <w:rPr>
      <w:rFonts w:ascii="Cambria" w:hAnsi="Cambria"/>
      <w:b/>
      <w:i/>
      <w:kern w:val="2"/>
    </w:rPr>
  </w:style>
  <w:style w:type="paragraph" w:styleId="Nadpis2">
    <w:name w:val="Heading 2"/>
    <w:basedOn w:val="Normal"/>
    <w:link w:val="Nadpis2Char"/>
    <w:qFormat/>
    <w:rsid w:val="00554e88"/>
    <w:pPr>
      <w:numPr>
        <w:ilvl w:val="1"/>
        <w:numId w:val="1"/>
      </w:numPr>
      <w:spacing w:before="240" w:after="60"/>
      <w:jc w:val="both"/>
      <w:outlineLvl w:val="1"/>
    </w:pPr>
    <w:rPr>
      <w:rFonts w:ascii="Cambria" w:hAnsi="Cambria"/>
      <w:szCs w:val="22"/>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qFormat/>
    <w:rsid w:val="00554e88"/>
    <w:rPr>
      <w:rFonts w:ascii="Cambria" w:hAnsi="Cambria" w:eastAsia="Times New Roman" w:cs="Times New Roman"/>
      <w:b/>
      <w:i/>
      <w:kern w:val="2"/>
      <w:szCs w:val="20"/>
      <w:lang w:eastAsia="cs-CZ"/>
    </w:rPr>
  </w:style>
  <w:style w:type="character" w:styleId="Nadpis2Char" w:customStyle="1">
    <w:name w:val="Nadpis 2 Char"/>
    <w:basedOn w:val="DefaultParagraphFont"/>
    <w:link w:val="Nadpis2"/>
    <w:qFormat/>
    <w:rsid w:val="00554e88"/>
    <w:rPr>
      <w:rFonts w:ascii="Cambria" w:hAnsi="Cambria" w:eastAsia="Times New Roman" w:cs="Times New Roman"/>
      <w:lang w:eastAsia="cs-CZ"/>
    </w:rPr>
  </w:style>
  <w:style w:type="character" w:styleId="ZpatChar" w:customStyle="1">
    <w:name w:val="Zápatí Char"/>
    <w:basedOn w:val="DefaultParagraphFont"/>
    <w:link w:val="Zpat"/>
    <w:qFormat/>
    <w:rsid w:val="00554e88"/>
    <w:rPr>
      <w:rFonts w:ascii="Times New Roman" w:hAnsi="Times New Roman" w:eastAsia="Times New Roman" w:cs="Times New Roman"/>
      <w:szCs w:val="20"/>
      <w:lang w:eastAsia="cs-CZ"/>
    </w:rPr>
  </w:style>
  <w:style w:type="character" w:styleId="Pagenumber">
    <w:name w:val="page number"/>
    <w:basedOn w:val="DefaultParagraphFont"/>
    <w:qFormat/>
    <w:rsid w:val="00554e88"/>
    <w:rPr/>
  </w:style>
  <w:style w:type="character" w:styleId="BodyChar" w:customStyle="1">
    <w:name w:val="Body Char"/>
    <w:basedOn w:val="DefaultParagraphFont"/>
    <w:link w:val="Body"/>
    <w:qFormat/>
    <w:rsid w:val="00554e88"/>
    <w:rPr>
      <w:rFonts w:ascii="Arial" w:hAnsi="Arial" w:eastAsia="Times New Roman" w:cs="Times New Roman"/>
      <w:kern w:val="2"/>
      <w:sz w:val="20"/>
      <w:szCs w:val="20"/>
      <w:lang w:val="en-GB"/>
    </w:rPr>
  </w:style>
  <w:style w:type="character" w:styleId="ZhlavChar" w:customStyle="1">
    <w:name w:val="Záhlaví Char"/>
    <w:basedOn w:val="DefaultParagraphFont"/>
    <w:link w:val="Zhlav"/>
    <w:qFormat/>
    <w:rsid w:val="00554e88"/>
    <w:rPr>
      <w:rFonts w:ascii="Times New Roman" w:hAnsi="Times New Roman" w:eastAsia="Times New Roman" w:cs="Times New Roman"/>
      <w:sz w:val="24"/>
      <w:szCs w:val="24"/>
      <w:lang w:eastAsia="cs-CZ"/>
    </w:rPr>
  </w:style>
  <w:style w:type="character" w:styleId="Internetovodkaz">
    <w:name w:val="Internetový odkaz"/>
    <w:basedOn w:val="DefaultParagraphFont"/>
    <w:uiPriority w:val="99"/>
    <w:unhideWhenUsed/>
    <w:rsid w:val="004219aa"/>
    <w:rPr>
      <w:color w:val="0563C1" w:themeColor="hyperlink"/>
      <w:u w:val="single"/>
    </w:rPr>
  </w:style>
  <w:style w:type="character" w:styleId="UnresolvedMention">
    <w:name w:val="Unresolved Mention"/>
    <w:basedOn w:val="DefaultParagraphFont"/>
    <w:uiPriority w:val="99"/>
    <w:semiHidden/>
    <w:unhideWhenUsed/>
    <w:qFormat/>
    <w:rsid w:val="006827a3"/>
    <w:rPr>
      <w:color w:val="605E5C"/>
      <w:shd w:fill="E1DFDD" w:val="clear"/>
    </w:rPr>
  </w:style>
  <w:style w:type="character" w:styleId="WW8Num2z0">
    <w:name w:val="WW8Num2z0"/>
    <w:qFormat/>
    <w:rPr>
      <w:rFonts w:ascii="Arial" w:hAnsi="Arial" w:eastAsia="Arial" w:cs="Arial"/>
      <w:color w:val="000000"/>
      <w:sz w:val="22"/>
      <w:szCs w:val="22"/>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azpat">
    <w:name w:val="Záhlaví a zápatí"/>
    <w:basedOn w:val="Normal"/>
    <w:qFormat/>
    <w:pPr/>
    <w:rPr/>
  </w:style>
  <w:style w:type="paragraph" w:styleId="Zpat">
    <w:name w:val="Footer"/>
    <w:basedOn w:val="Normal"/>
    <w:link w:val="ZpatChar"/>
    <w:rsid w:val="00554e88"/>
    <w:pPr>
      <w:tabs>
        <w:tab w:val="clear" w:pos="708"/>
        <w:tab w:val="center" w:pos="4536" w:leader="none"/>
        <w:tab w:val="right" w:pos="9072" w:leader="none"/>
      </w:tabs>
    </w:pPr>
    <w:rPr/>
  </w:style>
  <w:style w:type="paragraph" w:styleId="ListParagraph">
    <w:name w:val="List Paragraph"/>
    <w:basedOn w:val="Normal"/>
    <w:uiPriority w:val="34"/>
    <w:qFormat/>
    <w:rsid w:val="00554e88"/>
    <w:pPr>
      <w:ind w:left="1134" w:hanging="0"/>
    </w:pPr>
    <w:rPr>
      <w:rFonts w:ascii="Cambria" w:hAnsi="Cambria"/>
    </w:rPr>
  </w:style>
  <w:style w:type="paragraph" w:styleId="Body" w:customStyle="1">
    <w:name w:val="Body"/>
    <w:basedOn w:val="Normal"/>
    <w:link w:val="BodyChar"/>
    <w:qFormat/>
    <w:rsid w:val="00554e88"/>
    <w:pPr>
      <w:spacing w:lineRule="atLeast" w:line="280" w:before="0" w:after="137"/>
      <w:jc w:val="both"/>
    </w:pPr>
    <w:rPr>
      <w:rFonts w:ascii="Arial" w:hAnsi="Arial"/>
      <w:kern w:val="2"/>
      <w:sz w:val="20"/>
      <w:lang w:val="en-GB" w:eastAsia="en-US"/>
    </w:rPr>
  </w:style>
  <w:style w:type="paragraph" w:styleId="Zhlav">
    <w:name w:val="Header"/>
    <w:basedOn w:val="Normal"/>
    <w:link w:val="ZhlavChar"/>
    <w:unhideWhenUsed/>
    <w:rsid w:val="00554e88"/>
    <w:pPr>
      <w:tabs>
        <w:tab w:val="clear" w:pos="708"/>
        <w:tab w:val="center" w:pos="4536" w:leader="none"/>
        <w:tab w:val="right" w:pos="9072" w:leader="none"/>
      </w:tabs>
    </w:pPr>
    <w:rPr>
      <w:sz w:val="24"/>
      <w:szCs w:val="24"/>
    </w:rPr>
  </w:style>
  <w:style w:type="paragraph" w:styleId="Obsahrmce">
    <w:name w:val="Obsah rámce"/>
    <w:basedOn w:val="Normal"/>
    <w:qFormat/>
    <w:pPr/>
    <w:rPr/>
  </w:style>
  <w:style w:type="numbering" w:styleId="NoList" w:default="1">
    <w:name w:val="No List"/>
    <w:uiPriority w:val="99"/>
    <w:semiHidden/>
    <w:unhideWhenUsed/>
    <w:qFormat/>
  </w:style>
  <w:style w:type="numbering" w:styleId="WW8Num2">
    <w:name w:val="WW8Num2"/>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E7DBD-650C-471D-95BC-80E1B57AB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Application>LibreOffice/7.1.3.2$Windows_X86_64 LibreOffice_project/47f78053abe362b9384784d31a6e56f8511eb1c1</Application>
  <AppVersion>15.0000</AppVersion>
  <Pages>2</Pages>
  <Words>694</Words>
  <Characters>3931</Characters>
  <CharactersWithSpaces>4595</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2021-05-08T07:55:00Z</dcterms:created>
  <dc:creator>Mgr. Milan Voborník</dc:creator>
  <dc:description/>
  <dc:language>cs-CZ</dc:language>
  <cp:lastModifiedBy/>
  <dcterms:modified xsi:type="dcterms:W3CDTF">2023-04-04T11:33:14Z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