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343E" w14:textId="77777777" w:rsidR="00F335A4" w:rsidRDefault="00F335A4" w:rsidP="00DC3925">
      <w:pPr>
        <w:ind w:left="709" w:right="1025"/>
        <w:jc w:val="center"/>
        <w:rPr>
          <w:rFonts w:ascii="Verdana" w:hAnsi="Verdana"/>
          <w:b/>
          <w:sz w:val="20"/>
          <w:szCs w:val="20"/>
        </w:rPr>
      </w:pPr>
    </w:p>
    <w:p w14:paraId="1C33343F" w14:textId="77777777" w:rsidR="00DC3925" w:rsidRPr="00F335A4" w:rsidRDefault="00DC3925" w:rsidP="00DC3925">
      <w:pPr>
        <w:ind w:left="709" w:right="1025"/>
        <w:jc w:val="center"/>
        <w:rPr>
          <w:rFonts w:ascii="Verdana" w:hAnsi="Verdana"/>
          <w:b/>
          <w:sz w:val="24"/>
          <w:szCs w:val="24"/>
        </w:rPr>
      </w:pPr>
      <w:r w:rsidRPr="00F335A4">
        <w:rPr>
          <w:rFonts w:ascii="Verdana" w:hAnsi="Verdana"/>
          <w:b/>
          <w:sz w:val="24"/>
          <w:szCs w:val="24"/>
        </w:rPr>
        <w:t>Informace o zpracování osobních údajů odběratelů</w:t>
      </w:r>
    </w:p>
    <w:p w14:paraId="1C333440" w14:textId="77777777" w:rsidR="00DC3925" w:rsidRPr="00F335A4" w:rsidRDefault="00DC3925" w:rsidP="00DC3925">
      <w:pPr>
        <w:ind w:left="709" w:right="1025"/>
        <w:jc w:val="both"/>
        <w:rPr>
          <w:rFonts w:ascii="Verdana" w:hAnsi="Verdana"/>
          <w:sz w:val="20"/>
          <w:szCs w:val="20"/>
          <w:u w:val="single"/>
        </w:rPr>
      </w:pPr>
    </w:p>
    <w:p w14:paraId="1C333441"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Kdo je správce osobních údajů?</w:t>
      </w:r>
    </w:p>
    <w:p w14:paraId="1C333442"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 xml:space="preserve">Společnost Vodovody a kanalizace Beroun, a.s., IČ 46356975, se sídlem Mostníkovská 255/3, Beroun-Závodí, 266 01 Beroun, zapsaná v obchodním rejstříku vedeném Městským soudem v Praze, odd. B, vl. 2378, je správcem osobních údajů, které získává od </w:t>
      </w:r>
      <w:r w:rsidR="00465C2A" w:rsidRPr="00242CA0">
        <w:rPr>
          <w:rFonts w:ascii="Verdana" w:hAnsi="Verdana"/>
          <w:sz w:val="19"/>
          <w:szCs w:val="19"/>
        </w:rPr>
        <w:t>odběratelů</w:t>
      </w:r>
      <w:r w:rsidR="002808B3" w:rsidRPr="00242CA0">
        <w:rPr>
          <w:rFonts w:ascii="Verdana" w:hAnsi="Verdana"/>
          <w:sz w:val="19"/>
          <w:szCs w:val="19"/>
        </w:rPr>
        <w:t xml:space="preserve"> nebo z veřejného zdroje (např. z katastru </w:t>
      </w:r>
      <w:r w:rsidR="005C0C6B" w:rsidRPr="00242CA0">
        <w:rPr>
          <w:rFonts w:ascii="Verdana" w:hAnsi="Verdana"/>
          <w:sz w:val="19"/>
          <w:szCs w:val="19"/>
        </w:rPr>
        <w:t>nemovit</w:t>
      </w:r>
      <w:r w:rsidR="002808B3" w:rsidRPr="00242CA0">
        <w:rPr>
          <w:rFonts w:ascii="Verdana" w:hAnsi="Verdana"/>
          <w:sz w:val="19"/>
          <w:szCs w:val="19"/>
        </w:rPr>
        <w:t>ostí)</w:t>
      </w:r>
      <w:r w:rsidR="00465C2A" w:rsidRPr="00242CA0">
        <w:rPr>
          <w:rFonts w:ascii="Verdana" w:hAnsi="Verdana"/>
          <w:sz w:val="19"/>
          <w:szCs w:val="19"/>
        </w:rPr>
        <w:t>.</w:t>
      </w:r>
    </w:p>
    <w:p w14:paraId="1C333443" w14:textId="77777777" w:rsidR="00DC3925" w:rsidRPr="00242CA0" w:rsidRDefault="00DC3925" w:rsidP="00DC3925">
      <w:pPr>
        <w:ind w:left="709" w:right="1025"/>
        <w:jc w:val="both"/>
        <w:rPr>
          <w:rFonts w:ascii="Verdana" w:hAnsi="Verdana"/>
          <w:sz w:val="19"/>
          <w:szCs w:val="19"/>
        </w:rPr>
      </w:pPr>
    </w:p>
    <w:p w14:paraId="1C333444"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Čí osobní údaje jsou zpracovávány?</w:t>
      </w:r>
    </w:p>
    <w:p w14:paraId="1C333445"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 xml:space="preserve">Za odběratele se v tomto dokumentu v souladu s § 2 odst. 6 zák. č. 274/2001 Sb., o vodovodech a kanalizacích, považují zejm. vlastníci pozemků nebo staveb připojených na vodovod nebo kanalizaci. </w:t>
      </w:r>
    </w:p>
    <w:p w14:paraId="1C333446"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Odběrateli jsou subjekty, s nimiž má správce uzavřenu smlouvu o dodávce vody nebo</w:t>
      </w:r>
      <w:r w:rsidR="005725BE" w:rsidRPr="00242CA0">
        <w:rPr>
          <w:rFonts w:ascii="Verdana" w:hAnsi="Verdana"/>
          <w:sz w:val="19"/>
          <w:szCs w:val="19"/>
        </w:rPr>
        <w:t xml:space="preserve"> </w:t>
      </w:r>
      <w:r w:rsidRPr="00242CA0">
        <w:rPr>
          <w:rFonts w:ascii="Verdana" w:hAnsi="Verdana"/>
          <w:sz w:val="19"/>
          <w:szCs w:val="19"/>
        </w:rPr>
        <w:t xml:space="preserve">odvádění odpadních vod i ti, s nimiž tato smlouva nebyla uzavřena, pokud splňují zákonné znaky pro odběratele v souladu se zákonem o vodovodech a kanalizacích. </w:t>
      </w:r>
    </w:p>
    <w:p w14:paraId="1C333447" w14:textId="77777777" w:rsidR="00DC3925" w:rsidRPr="00242CA0" w:rsidRDefault="00DC3925" w:rsidP="00DC3925">
      <w:pPr>
        <w:ind w:left="709" w:right="1025"/>
        <w:jc w:val="both"/>
        <w:rPr>
          <w:rFonts w:ascii="Verdana" w:hAnsi="Verdana"/>
          <w:sz w:val="19"/>
          <w:szCs w:val="19"/>
        </w:rPr>
      </w:pPr>
    </w:p>
    <w:p w14:paraId="1C333448"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Jaké osobní údaje správce zpracovává?</w:t>
      </w:r>
    </w:p>
    <w:p w14:paraId="1C333449"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jméno a příjmení, titul, podpis,</w:t>
      </w:r>
    </w:p>
    <w:p w14:paraId="1C33344A"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datum narození, adresa bydliště, adresa místa podnikání, </w:t>
      </w:r>
    </w:p>
    <w:p w14:paraId="1C33344B"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jméno, příjmení a titul zmocněnce, jméno a příjmení, titul statutárního zástupce, </w:t>
      </w:r>
    </w:p>
    <w:p w14:paraId="1C33344C"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identifikační číslo, daňové identifikač</w:t>
      </w:r>
      <w:r w:rsidR="005725BE" w:rsidRPr="00242CA0">
        <w:rPr>
          <w:rFonts w:cs="CIDFont+F4"/>
          <w:color w:val="000000"/>
          <w:sz w:val="19"/>
          <w:szCs w:val="19"/>
        </w:rPr>
        <w:t>ní číslo</w:t>
      </w:r>
      <w:r w:rsidRPr="00242CA0">
        <w:rPr>
          <w:rFonts w:cs="CIDFont+F4"/>
          <w:color w:val="000000"/>
          <w:sz w:val="19"/>
          <w:szCs w:val="19"/>
        </w:rPr>
        <w:t xml:space="preserve"> ne(plátce) DPH, </w:t>
      </w:r>
    </w:p>
    <w:p w14:paraId="1C33344D"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adresa odběrného místa, číslo odběrného místa, </w:t>
      </w:r>
    </w:p>
    <w:p w14:paraId="1C33344E"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číslo bankovního účtu, telefonní číslo, emailová adresa, číslo poštovní datové schránky, </w:t>
      </w:r>
    </w:p>
    <w:p w14:paraId="1C33344F"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počet trvale připojených osob, </w:t>
      </w:r>
    </w:p>
    <w:p w14:paraId="1C333450" w14:textId="77777777" w:rsidR="005725BE"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výše a četnost záloh, informace o vlastním zdroji, </w:t>
      </w:r>
    </w:p>
    <w:p w14:paraId="1C333451" w14:textId="77777777" w:rsidR="000613C9"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údaj o výměře nemovitosti pro stanovení množství srážkových vod, </w:t>
      </w:r>
    </w:p>
    <w:p w14:paraId="1C333452" w14:textId="77777777" w:rsidR="00CA56B8"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údaje o množství odebrané vody/vypouštěné odpadní vody, informace online měření </w:t>
      </w:r>
    </w:p>
    <w:p w14:paraId="1C333453" w14:textId="77777777" w:rsidR="000613C9" w:rsidRPr="00242CA0" w:rsidRDefault="00923451" w:rsidP="00CA56B8">
      <w:pPr>
        <w:pStyle w:val="Odstavecseseznamem"/>
        <w:autoSpaceDE w:val="0"/>
        <w:autoSpaceDN w:val="0"/>
        <w:adjustRightInd w:val="0"/>
        <w:ind w:left="1428"/>
        <w:jc w:val="both"/>
        <w:rPr>
          <w:rFonts w:cs="CIDFont+F4"/>
          <w:color w:val="000000"/>
          <w:sz w:val="19"/>
          <w:szCs w:val="19"/>
        </w:rPr>
      </w:pPr>
      <w:r w:rsidRPr="00242CA0">
        <w:rPr>
          <w:rFonts w:cs="CIDFont+F4"/>
          <w:color w:val="000000"/>
          <w:sz w:val="19"/>
          <w:szCs w:val="19"/>
        </w:rPr>
        <w:t xml:space="preserve">(smart metering), </w:t>
      </w:r>
    </w:p>
    <w:p w14:paraId="1C333454" w14:textId="77777777" w:rsidR="000613C9"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rodné číslo pouze ve veřejnoprávních listinách (např. výpis z katastru nemovitostí), </w:t>
      </w:r>
    </w:p>
    <w:p w14:paraId="1C333455" w14:textId="77777777" w:rsidR="000613C9"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 xml:space="preserve">v případě komunikace s call centrem v rozsahu audiozáznamu telefonického hovoru, </w:t>
      </w:r>
    </w:p>
    <w:p w14:paraId="1C333456" w14:textId="77777777" w:rsidR="00923451" w:rsidRPr="00242CA0" w:rsidRDefault="00923451" w:rsidP="000613C9">
      <w:pPr>
        <w:pStyle w:val="Odstavecseseznamem"/>
        <w:numPr>
          <w:ilvl w:val="0"/>
          <w:numId w:val="3"/>
        </w:numPr>
        <w:autoSpaceDE w:val="0"/>
        <w:autoSpaceDN w:val="0"/>
        <w:adjustRightInd w:val="0"/>
        <w:jc w:val="both"/>
        <w:rPr>
          <w:rFonts w:cs="CIDFont+F4"/>
          <w:color w:val="000000"/>
          <w:sz w:val="19"/>
          <w:szCs w:val="19"/>
        </w:rPr>
      </w:pPr>
      <w:r w:rsidRPr="00242CA0">
        <w:rPr>
          <w:rFonts w:cs="CIDFont+F4"/>
          <w:color w:val="000000"/>
          <w:sz w:val="19"/>
          <w:szCs w:val="19"/>
        </w:rPr>
        <w:t>v případě pohybu v areálu dodavatele v rozsahu kamerového záznamu;</w:t>
      </w:r>
    </w:p>
    <w:p w14:paraId="1C333457" w14:textId="77777777" w:rsidR="00914FB1" w:rsidRPr="00242CA0" w:rsidRDefault="00914FB1" w:rsidP="00923451">
      <w:pPr>
        <w:ind w:left="709" w:right="1025"/>
        <w:jc w:val="both"/>
        <w:rPr>
          <w:rFonts w:ascii="Verdana" w:hAnsi="Verdana"/>
          <w:sz w:val="19"/>
          <w:szCs w:val="19"/>
        </w:rPr>
      </w:pPr>
    </w:p>
    <w:p w14:paraId="1C333458" w14:textId="77777777" w:rsidR="00DC3925" w:rsidRPr="00242CA0" w:rsidRDefault="00DC3925" w:rsidP="00DC3925">
      <w:pPr>
        <w:ind w:left="709" w:right="1025"/>
        <w:jc w:val="both"/>
        <w:rPr>
          <w:rFonts w:ascii="Verdana" w:hAnsi="Verdana"/>
          <w:sz w:val="19"/>
          <w:szCs w:val="19"/>
        </w:rPr>
      </w:pPr>
    </w:p>
    <w:p w14:paraId="1C333459"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Správce nepožaduje předání osobních údajů nad rozsah nezbytně nutný.</w:t>
      </w:r>
    </w:p>
    <w:p w14:paraId="1C33345A"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 xml:space="preserve">V případě, že je se zákazníkem veden telefonický hovor za účelem vyřízení jeho požadavku, může být tento hovor zaznamenáván pro doložení potvrzení žádosti o změnu smlouvy a uložen po dobu trvání smluvního vztahu. </w:t>
      </w:r>
    </w:p>
    <w:p w14:paraId="1C33345B" w14:textId="77777777" w:rsidR="00DC3925" w:rsidRPr="00242CA0" w:rsidRDefault="00DC3925" w:rsidP="00DC3925">
      <w:pPr>
        <w:ind w:left="709" w:right="1025"/>
        <w:jc w:val="both"/>
        <w:rPr>
          <w:rFonts w:ascii="Verdana" w:hAnsi="Verdana"/>
          <w:sz w:val="19"/>
          <w:szCs w:val="19"/>
        </w:rPr>
      </w:pPr>
    </w:p>
    <w:p w14:paraId="1C33345C"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Za jakým účelem jsou osobní údaje zpracovávány?</w:t>
      </w:r>
    </w:p>
    <w:p w14:paraId="1C33345D"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 xml:space="preserve">Správce získané osobní údaje od svých odběratelů zpracovává zejm. za účelem uzavření smlouvy o dodávce pitné vody nebo odvádění odpadních vod, jejího plnění a změn. Za tímto účelem jsou osobní údaje zpracovávány v listinné formě (smlouva) i v elektronické podobě. Součástí tohoto zpracování jsou i činnosti související s odečty vodoměrů, fakturací, hlášení poruch a vedením informací o existenci přípojek v geografickém informačním systému. </w:t>
      </w:r>
    </w:p>
    <w:p w14:paraId="1C33345E" w14:textId="77777777" w:rsidR="00DC3925" w:rsidRPr="00242CA0" w:rsidRDefault="00DC3925" w:rsidP="00DC3925">
      <w:pPr>
        <w:ind w:left="709" w:right="1025"/>
        <w:jc w:val="both"/>
        <w:rPr>
          <w:rFonts w:ascii="Verdana" w:hAnsi="Verdana"/>
          <w:sz w:val="19"/>
          <w:szCs w:val="19"/>
        </w:rPr>
      </w:pPr>
    </w:p>
    <w:p w14:paraId="1C33345F"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 xml:space="preserve">V rámci plnění smluvních závazků může u správce docházet k předávání osobních údajů mezi zaměstnanci správce, avšak pouze z důvodu plnění tohoto účelu. </w:t>
      </w:r>
    </w:p>
    <w:p w14:paraId="1C333460" w14:textId="77777777" w:rsidR="00DC3925" w:rsidRPr="00242CA0" w:rsidRDefault="00DC3925" w:rsidP="00DC3925">
      <w:pPr>
        <w:ind w:left="709" w:right="1025"/>
        <w:jc w:val="both"/>
        <w:rPr>
          <w:rFonts w:ascii="Verdana" w:hAnsi="Verdana"/>
          <w:sz w:val="19"/>
          <w:szCs w:val="19"/>
        </w:rPr>
      </w:pPr>
    </w:p>
    <w:p w14:paraId="1C333461"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Správce osobní údaje odběratelů může použít pro ochranu oprávněných zájmů správce, zejm. vymáhání pohledávek. Při vymáhání pohledávek mohou být osobní údaje odběratele předány advokátovi, který vymáhání pohledávky zajišťuje. Na ochranu osobních údajů u advokátů se vztahuje mj. i stavovský předpis, který upravuje povinnost zachovávat mlčenlivost advokátem.</w:t>
      </w:r>
    </w:p>
    <w:p w14:paraId="1C333462" w14:textId="77777777" w:rsidR="00DC3925" w:rsidRPr="00242CA0" w:rsidRDefault="00DC3925" w:rsidP="00DC3925">
      <w:pPr>
        <w:ind w:left="709" w:right="1025"/>
        <w:jc w:val="both"/>
        <w:rPr>
          <w:rFonts w:ascii="Verdana" w:hAnsi="Verdana"/>
          <w:sz w:val="19"/>
          <w:szCs w:val="19"/>
        </w:rPr>
      </w:pPr>
    </w:p>
    <w:p w14:paraId="1C333463"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Správce osobní údaje odběratelů používá pro plnění svých zákonných povinností, pokud jsou mu takové zákonem uloženy (např. spolupráce s Policií ČR nebo Českou inspekcí životního prostředí).</w:t>
      </w:r>
    </w:p>
    <w:p w14:paraId="1C333464" w14:textId="77777777" w:rsidR="00465C2A" w:rsidRPr="00242CA0" w:rsidRDefault="00465C2A" w:rsidP="00DC3925">
      <w:pPr>
        <w:ind w:left="709" w:right="1025"/>
        <w:jc w:val="both"/>
        <w:rPr>
          <w:rFonts w:ascii="Verdana" w:hAnsi="Verdana"/>
          <w:sz w:val="19"/>
          <w:szCs w:val="19"/>
          <w:u w:val="single"/>
        </w:rPr>
      </w:pPr>
    </w:p>
    <w:p w14:paraId="1C333465"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Je zpracování osobních údajů zákonné?</w:t>
      </w:r>
    </w:p>
    <w:p w14:paraId="1C333466"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Správce považuje zpracování osobních údajů za výše uvedenými účely za zákonné a v souladu s nařízením 2016/679 (GDPR), a to konkrétně podle čl. 6 odst. 1 písm. b), c) a f).</w:t>
      </w:r>
    </w:p>
    <w:p w14:paraId="1C333467"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Ke zpracování osobních údajů nevyžaduje správce souhlas subjektu osobních údajů. Osobní údaje jsou poskytovány dobrovolně. Bez poskytnutí osobních údajů však nemůže dojít k plnění smlouvy a z tohoto důvodu je poskytnutí osobních údajů nezbytné.</w:t>
      </w:r>
    </w:p>
    <w:p w14:paraId="1C333468" w14:textId="77777777" w:rsidR="00DC3925" w:rsidRPr="00242CA0" w:rsidRDefault="00DC3925" w:rsidP="00DC3925">
      <w:pPr>
        <w:ind w:left="709" w:right="1025"/>
        <w:jc w:val="both"/>
        <w:rPr>
          <w:rFonts w:ascii="Verdana" w:hAnsi="Verdana"/>
          <w:sz w:val="19"/>
          <w:szCs w:val="19"/>
        </w:rPr>
      </w:pPr>
    </w:p>
    <w:p w14:paraId="1C333469"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Je správce oprávněn zpracovávat osobní údaje i pro jiný účel?</w:t>
      </w:r>
    </w:p>
    <w:p w14:paraId="1C33346A"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Správce je oprávněn zpracovávat osobní údaje i pro jiný účel, pokud je takové zpracování slučitelné s účely, pro které byly osobní údaje shromážděny a jestliže to jejich povaha nevylučuje. Správce je v takovém případě povinen vyhodnotit zákonnost takového zpracování.</w:t>
      </w:r>
    </w:p>
    <w:p w14:paraId="1C33346B" w14:textId="77777777" w:rsidR="00DC3925" w:rsidRPr="00242CA0" w:rsidRDefault="00DC3925" w:rsidP="00DC3925">
      <w:pPr>
        <w:ind w:left="709" w:right="1025"/>
        <w:jc w:val="both"/>
        <w:rPr>
          <w:rFonts w:ascii="Verdana" w:hAnsi="Verdana"/>
          <w:sz w:val="19"/>
          <w:szCs w:val="19"/>
        </w:rPr>
      </w:pPr>
    </w:p>
    <w:p w14:paraId="1C33346C"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Jsou osobní údaje předávány?</w:t>
      </w:r>
    </w:p>
    <w:p w14:paraId="1C33346D"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Získané osobní údaje odběratelů správce předává pouze orgánům veřejné moci (např. finanční úřad, soud, policie).</w:t>
      </w:r>
    </w:p>
    <w:p w14:paraId="1C33346E"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Správce osobní údaje odběratelů ve 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obsahuje závazky těchto osob k ochraně osobních údajů a zajištění jejich bezpečnosti. Tyto osoby nejsou oprávněny užívat osobní údaje k jiným účelům.</w:t>
      </w:r>
    </w:p>
    <w:p w14:paraId="1C33346F"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Ve výjimečných případech předává správce osobní údaje odběratelů vlastníkovi vodovodu nebo kanalizace, k níž je odběratel připojen, a to za účelem ochrany oprávněných zájmů správce nebo vlastníka sítě.</w:t>
      </w:r>
    </w:p>
    <w:p w14:paraId="1C333470"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Jiným osobám správce osobní údaje odběratelů bez jejich souhlasu nepředává.</w:t>
      </w:r>
    </w:p>
    <w:p w14:paraId="1C333471" w14:textId="77777777" w:rsidR="00DC3925" w:rsidRPr="00242CA0" w:rsidRDefault="00DC3925" w:rsidP="00DC3925">
      <w:pPr>
        <w:ind w:left="709" w:right="1025"/>
        <w:jc w:val="both"/>
        <w:rPr>
          <w:rFonts w:ascii="Verdana" w:hAnsi="Verdana"/>
          <w:sz w:val="19"/>
          <w:szCs w:val="19"/>
        </w:rPr>
      </w:pPr>
    </w:p>
    <w:p w14:paraId="1C333472"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Jak dlouho jsou osobní údaje uloženy?</w:t>
      </w:r>
    </w:p>
    <w:p w14:paraId="1C333473"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 xml:space="preserve">Získané osobní údaje správce zpracovává po dobu plnění smluvního závazku. Po skončení plnění smluvního závazku správce osobní údaje ukládá do doby uplynutí zákonných lhůt pro uplatnění práv a nároků, které by se smluvním závazkem mohly souviset, obvykle ne déle než deset let. </w:t>
      </w:r>
    </w:p>
    <w:p w14:paraId="1C333474" w14:textId="77777777" w:rsidR="00DC3925" w:rsidRPr="00242CA0" w:rsidRDefault="00DC3925" w:rsidP="00DC3925">
      <w:pPr>
        <w:ind w:left="709" w:right="1025"/>
        <w:jc w:val="both"/>
        <w:rPr>
          <w:rFonts w:ascii="Verdana" w:hAnsi="Verdana"/>
          <w:sz w:val="19"/>
          <w:szCs w:val="19"/>
        </w:rPr>
      </w:pPr>
    </w:p>
    <w:p w14:paraId="1C333475"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Jaká jsou práva subjektu osobních údajů?</w:t>
      </w:r>
    </w:p>
    <w:p w14:paraId="1C333476"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Odběratelé jako subjekty osobních údajů mají právo:</w:t>
      </w:r>
    </w:p>
    <w:p w14:paraId="1C333477" w14:textId="77777777" w:rsidR="00DC3925" w:rsidRPr="00242CA0" w:rsidRDefault="00DC3925" w:rsidP="00DC3925">
      <w:pPr>
        <w:pStyle w:val="Odstavecseseznamem"/>
        <w:numPr>
          <w:ilvl w:val="0"/>
          <w:numId w:val="1"/>
        </w:numPr>
        <w:ind w:left="1701" w:right="1025" w:hanging="425"/>
        <w:jc w:val="both"/>
        <w:rPr>
          <w:sz w:val="19"/>
          <w:szCs w:val="19"/>
        </w:rPr>
      </w:pPr>
      <w:r w:rsidRPr="00242CA0">
        <w:rPr>
          <w:sz w:val="19"/>
          <w:szCs w:val="19"/>
        </w:rPr>
        <w:t>na přístup k osobním údajům spočívající v informaci o tom zda jsou jejich osobní údaje zpracovávány a v jakém rozsahu,</w:t>
      </w:r>
    </w:p>
    <w:p w14:paraId="1C333478" w14:textId="77777777" w:rsidR="00DC3925" w:rsidRPr="00242CA0" w:rsidRDefault="00DC3925" w:rsidP="00DC3925">
      <w:pPr>
        <w:pStyle w:val="Odstavecseseznamem"/>
        <w:numPr>
          <w:ilvl w:val="0"/>
          <w:numId w:val="1"/>
        </w:numPr>
        <w:ind w:left="1701" w:right="1025" w:hanging="425"/>
        <w:jc w:val="both"/>
        <w:rPr>
          <w:sz w:val="19"/>
          <w:szCs w:val="19"/>
        </w:rPr>
      </w:pPr>
      <w:r w:rsidRPr="00242CA0">
        <w:rPr>
          <w:sz w:val="19"/>
          <w:szCs w:val="19"/>
        </w:rPr>
        <w:t>na opravu zpracovávaných osobních údajů,</w:t>
      </w:r>
    </w:p>
    <w:p w14:paraId="1C333479" w14:textId="77777777" w:rsidR="00DC3925" w:rsidRPr="00242CA0" w:rsidRDefault="00DC3925" w:rsidP="00DC3925">
      <w:pPr>
        <w:pStyle w:val="Odstavecseseznamem"/>
        <w:numPr>
          <w:ilvl w:val="0"/>
          <w:numId w:val="1"/>
        </w:numPr>
        <w:ind w:left="1701" w:right="1025" w:hanging="425"/>
        <w:jc w:val="both"/>
        <w:rPr>
          <w:sz w:val="19"/>
          <w:szCs w:val="19"/>
        </w:rPr>
      </w:pPr>
      <w:r w:rsidRPr="00242CA0">
        <w:rPr>
          <w:sz w:val="19"/>
          <w:szCs w:val="19"/>
        </w:rPr>
        <w:t>na výmaz nebo omezení zpracování osobních údajů,</w:t>
      </w:r>
    </w:p>
    <w:p w14:paraId="1C33347A" w14:textId="77777777" w:rsidR="00DC3925" w:rsidRPr="00242CA0" w:rsidRDefault="00DC3925" w:rsidP="00DC3925">
      <w:pPr>
        <w:pStyle w:val="Odstavecseseznamem"/>
        <w:numPr>
          <w:ilvl w:val="0"/>
          <w:numId w:val="1"/>
        </w:numPr>
        <w:ind w:left="1701" w:right="1025" w:hanging="425"/>
        <w:jc w:val="both"/>
        <w:rPr>
          <w:sz w:val="19"/>
          <w:szCs w:val="19"/>
        </w:rPr>
      </w:pPr>
      <w:r w:rsidRPr="00242CA0">
        <w:rPr>
          <w:sz w:val="19"/>
          <w:szCs w:val="19"/>
        </w:rPr>
        <w:t>vznést námitku proti zpracování.</w:t>
      </w:r>
    </w:p>
    <w:p w14:paraId="1C33347B" w14:textId="77777777" w:rsidR="00DC3925" w:rsidRPr="00242CA0" w:rsidRDefault="00DC3925" w:rsidP="00DC3925">
      <w:pPr>
        <w:ind w:left="709" w:right="1025"/>
        <w:jc w:val="both"/>
        <w:rPr>
          <w:rFonts w:ascii="Verdana" w:hAnsi="Verdana"/>
          <w:sz w:val="19"/>
          <w:szCs w:val="19"/>
        </w:rPr>
      </w:pPr>
    </w:p>
    <w:p w14:paraId="1C33347C"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Odběratelé jsou oprávněni obrátit se na dozorový úřad se svou stížností. Dozorovým úřadem je Úřad pro ochranu osobních údajů.</w:t>
      </w:r>
    </w:p>
    <w:p w14:paraId="1C33347D" w14:textId="77777777" w:rsidR="00DC3925" w:rsidRPr="00242CA0" w:rsidRDefault="00DC3925" w:rsidP="00DC3925">
      <w:pPr>
        <w:spacing w:after="120"/>
        <w:ind w:left="709" w:right="1026"/>
        <w:jc w:val="both"/>
        <w:rPr>
          <w:rFonts w:ascii="Verdana" w:hAnsi="Verdana"/>
          <w:sz w:val="19"/>
          <w:szCs w:val="19"/>
        </w:rPr>
      </w:pPr>
      <w:r w:rsidRPr="00242CA0">
        <w:rPr>
          <w:rFonts w:ascii="Verdana" w:hAnsi="Verdana"/>
          <w:sz w:val="19"/>
          <w:szCs w:val="19"/>
        </w:rPr>
        <w:t xml:space="preserve">Správce osobní údaje odběratelů nezpracovává automatizovaně. </w:t>
      </w:r>
    </w:p>
    <w:p w14:paraId="1C33347E" w14:textId="77777777" w:rsidR="00DC3925" w:rsidRPr="00242CA0" w:rsidRDefault="00DC3925" w:rsidP="00DC3925">
      <w:pPr>
        <w:ind w:left="709" w:right="1025"/>
        <w:jc w:val="both"/>
        <w:rPr>
          <w:rFonts w:ascii="Verdana" w:hAnsi="Verdana"/>
          <w:sz w:val="19"/>
          <w:szCs w:val="19"/>
        </w:rPr>
      </w:pPr>
    </w:p>
    <w:p w14:paraId="1C33347F" w14:textId="77777777" w:rsidR="00DC3925" w:rsidRPr="00242CA0" w:rsidRDefault="00DC3925" w:rsidP="00DC3925">
      <w:pPr>
        <w:ind w:left="709" w:right="1025"/>
        <w:jc w:val="both"/>
        <w:rPr>
          <w:rFonts w:ascii="Verdana" w:hAnsi="Verdana"/>
          <w:sz w:val="19"/>
          <w:szCs w:val="19"/>
          <w:u w:val="single"/>
        </w:rPr>
      </w:pPr>
      <w:r w:rsidRPr="00242CA0">
        <w:rPr>
          <w:rFonts w:ascii="Verdana" w:hAnsi="Verdana"/>
          <w:sz w:val="19"/>
          <w:szCs w:val="19"/>
          <w:u w:val="single"/>
        </w:rPr>
        <w:t>Jak může odběratel kontaktovat správce?</w:t>
      </w:r>
    </w:p>
    <w:p w14:paraId="1C333480" w14:textId="77777777" w:rsidR="00DC3925" w:rsidRPr="00242CA0" w:rsidRDefault="00DC3925" w:rsidP="00DC3925">
      <w:pPr>
        <w:ind w:left="709" w:right="1025"/>
        <w:jc w:val="both"/>
        <w:rPr>
          <w:rFonts w:ascii="Verdana" w:hAnsi="Verdana"/>
          <w:sz w:val="19"/>
          <w:szCs w:val="19"/>
        </w:rPr>
      </w:pPr>
      <w:r w:rsidRPr="00242CA0">
        <w:rPr>
          <w:rFonts w:ascii="Verdana" w:hAnsi="Verdana"/>
          <w:sz w:val="19"/>
          <w:szCs w:val="19"/>
        </w:rPr>
        <w:t>Subjekty osobních údajů se pro uplatnění svých práv mohou na správce obrátit prostřednictvím Pověřence pro ochranu osobních údajů.</w:t>
      </w:r>
    </w:p>
    <w:p w14:paraId="1C333481" w14:textId="7AC11801" w:rsidR="00400899" w:rsidRPr="000613C9" w:rsidRDefault="00DC3925" w:rsidP="00914FB1">
      <w:pPr>
        <w:ind w:left="709" w:right="1025"/>
        <w:jc w:val="both"/>
        <w:rPr>
          <w:rFonts w:ascii="Verdana" w:hAnsi="Verdana"/>
          <w:sz w:val="18"/>
          <w:szCs w:val="18"/>
        </w:rPr>
      </w:pPr>
      <w:r w:rsidRPr="00242CA0">
        <w:rPr>
          <w:rFonts w:ascii="Verdana" w:hAnsi="Verdana"/>
          <w:sz w:val="19"/>
          <w:szCs w:val="19"/>
        </w:rPr>
        <w:t xml:space="preserve">Pověřencem pro ochranu osobních údajů je společnost </w:t>
      </w:r>
      <w:r w:rsidR="000C4A65">
        <w:rPr>
          <w:rFonts w:ascii="Verdana" w:hAnsi="Verdana"/>
          <w:sz w:val="19"/>
          <w:szCs w:val="19"/>
        </w:rPr>
        <w:t>………………………………………………………………..</w:t>
      </w:r>
      <w:bookmarkStart w:id="0" w:name="_GoBack"/>
      <w:bookmarkEnd w:id="0"/>
      <w:r w:rsidRPr="00242CA0">
        <w:rPr>
          <w:rFonts w:ascii="Verdana" w:hAnsi="Verdana"/>
          <w:sz w:val="19"/>
          <w:szCs w:val="19"/>
        </w:rPr>
        <w:t xml:space="preserve">, přičemž osobou oprávněnou zastupovat pověřence pro ochranu osobních údajů u správce je </w:t>
      </w:r>
      <w:r w:rsidR="000613C9" w:rsidRPr="00242CA0">
        <w:rPr>
          <w:rFonts w:ascii="Verdana" w:hAnsi="Verdana"/>
          <w:sz w:val="19"/>
          <w:szCs w:val="19"/>
        </w:rPr>
        <w:t>osoba, která je vždy aktuálně zveřejněna na webových stránkách dodavatele</w:t>
      </w:r>
      <w:r w:rsidRPr="00242CA0">
        <w:rPr>
          <w:rFonts w:ascii="Verdana" w:hAnsi="Verdana"/>
          <w:sz w:val="19"/>
          <w:szCs w:val="19"/>
        </w:rPr>
        <w:t>, email:</w:t>
      </w:r>
      <w:r w:rsidR="00D66C40" w:rsidRPr="000613C9">
        <w:rPr>
          <w:rFonts w:ascii="Verdana" w:hAnsi="Verdana"/>
          <w:sz w:val="18"/>
          <w:szCs w:val="18"/>
        </w:rPr>
        <w:tab/>
      </w:r>
      <w:r w:rsidR="00D66C40" w:rsidRPr="000613C9">
        <w:rPr>
          <w:rFonts w:ascii="Verdana" w:hAnsi="Verdana"/>
          <w:sz w:val="18"/>
          <w:szCs w:val="18"/>
        </w:rPr>
        <w:tab/>
      </w:r>
    </w:p>
    <w:sectPr w:rsidR="00400899" w:rsidRPr="000613C9" w:rsidSect="005725BE">
      <w:headerReference w:type="default" r:id="rId8"/>
      <w:footerReference w:type="default" r:id="rId9"/>
      <w:pgSz w:w="11906" w:h="16838" w:code="9"/>
      <w:pgMar w:top="720" w:right="567" w:bottom="72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3194" w14:textId="77777777" w:rsidR="008759CF" w:rsidRDefault="008759CF" w:rsidP="005E2390">
      <w:r>
        <w:separator/>
      </w:r>
    </w:p>
  </w:endnote>
  <w:endnote w:type="continuationSeparator" w:id="0">
    <w:p w14:paraId="7DEBB7CF" w14:textId="77777777" w:rsidR="008759CF" w:rsidRDefault="008759CF" w:rsidP="005E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IDFont+F4">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3488" w14:textId="77777777" w:rsidR="005E2390" w:rsidRDefault="005E2390" w:rsidP="00400899">
    <w:pPr>
      <w:pStyle w:val="Zpat"/>
      <w:ind w:left="-142"/>
    </w:pPr>
    <w:r>
      <w:rPr>
        <w:noProof/>
        <w:lang w:eastAsia="cs-CZ"/>
      </w:rPr>
      <w:drawing>
        <wp:inline distT="0" distB="0" distL="0" distR="0" wp14:anchorId="1C33348B" wp14:editId="1C33348C">
          <wp:extent cx="7351776" cy="682775"/>
          <wp:effectExtent l="0" t="0" r="1905" b="3175"/>
          <wp:docPr id="6"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6629" cy="7036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5210" w14:textId="77777777" w:rsidR="008759CF" w:rsidRDefault="008759CF" w:rsidP="005E2390">
      <w:r>
        <w:separator/>
      </w:r>
    </w:p>
  </w:footnote>
  <w:footnote w:type="continuationSeparator" w:id="0">
    <w:p w14:paraId="2E853D6A" w14:textId="77777777" w:rsidR="008759CF" w:rsidRDefault="008759CF" w:rsidP="005E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3486" w14:textId="77777777" w:rsidR="005E2390" w:rsidRDefault="00400899">
    <w:pPr>
      <w:pStyle w:val="Zhlav"/>
    </w:pPr>
    <w:r>
      <w:t xml:space="preserve"> </w:t>
    </w:r>
    <w:r w:rsidR="005E2390">
      <w:t xml:space="preserve">       </w:t>
    </w:r>
    <w:r w:rsidR="005E2390" w:rsidRPr="005E2390">
      <w:rPr>
        <w:noProof/>
        <w:lang w:eastAsia="cs-CZ"/>
      </w:rPr>
      <w:drawing>
        <wp:inline distT="0" distB="0" distL="0" distR="0" wp14:anchorId="1C333489" wp14:editId="1C33348A">
          <wp:extent cx="1871932" cy="32716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098" cy="350440"/>
                  </a:xfrm>
                  <a:prstGeom prst="rect">
                    <a:avLst/>
                  </a:prstGeom>
                  <a:noFill/>
                  <a:ln>
                    <a:noFill/>
                  </a:ln>
                </pic:spPr>
              </pic:pic>
            </a:graphicData>
          </a:graphic>
        </wp:inline>
      </w:drawing>
    </w:r>
  </w:p>
  <w:p w14:paraId="1C333487" w14:textId="77777777" w:rsidR="005E2390" w:rsidRDefault="005E23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A8F"/>
    <w:multiLevelType w:val="hybridMultilevel"/>
    <w:tmpl w:val="3BDCF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FF0403"/>
    <w:multiLevelType w:val="hybridMultilevel"/>
    <w:tmpl w:val="02000750"/>
    <w:lvl w:ilvl="0" w:tplc="AC4EA63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4B1480"/>
    <w:multiLevelType w:val="hybridMultilevel"/>
    <w:tmpl w:val="1578EA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90"/>
    <w:rsid w:val="00011A36"/>
    <w:rsid w:val="00012366"/>
    <w:rsid w:val="000613C9"/>
    <w:rsid w:val="000C4A65"/>
    <w:rsid w:val="000F455A"/>
    <w:rsid w:val="00150983"/>
    <w:rsid w:val="001E0F7C"/>
    <w:rsid w:val="00242CA0"/>
    <w:rsid w:val="002808B3"/>
    <w:rsid w:val="002C69C5"/>
    <w:rsid w:val="002D25DD"/>
    <w:rsid w:val="00312CC2"/>
    <w:rsid w:val="00400899"/>
    <w:rsid w:val="0046167D"/>
    <w:rsid w:val="00465C2A"/>
    <w:rsid w:val="004676EE"/>
    <w:rsid w:val="004752A3"/>
    <w:rsid w:val="00500A32"/>
    <w:rsid w:val="005725BE"/>
    <w:rsid w:val="005C0C6B"/>
    <w:rsid w:val="005C378C"/>
    <w:rsid w:val="005E2390"/>
    <w:rsid w:val="00622721"/>
    <w:rsid w:val="00745F8E"/>
    <w:rsid w:val="00797778"/>
    <w:rsid w:val="00840F93"/>
    <w:rsid w:val="008759CF"/>
    <w:rsid w:val="008D7B75"/>
    <w:rsid w:val="008E4F6F"/>
    <w:rsid w:val="00914FB1"/>
    <w:rsid w:val="00923451"/>
    <w:rsid w:val="00957298"/>
    <w:rsid w:val="009D67F5"/>
    <w:rsid w:val="009E6228"/>
    <w:rsid w:val="00AA2996"/>
    <w:rsid w:val="00AC296A"/>
    <w:rsid w:val="00AC589C"/>
    <w:rsid w:val="00C234CB"/>
    <w:rsid w:val="00C80530"/>
    <w:rsid w:val="00CA56B8"/>
    <w:rsid w:val="00D66C40"/>
    <w:rsid w:val="00DC3925"/>
    <w:rsid w:val="00DE61DF"/>
    <w:rsid w:val="00E960E4"/>
    <w:rsid w:val="00EA4530"/>
    <w:rsid w:val="00F335A4"/>
    <w:rsid w:val="00F36B27"/>
    <w:rsid w:val="00FD0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343E"/>
  <w15:chartTrackingRefBased/>
  <w15:docId w15:val="{06B2F7E0-5270-4504-87E0-359411F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2CC2"/>
    <w:pPr>
      <w:spacing w:after="0" w:line="240" w:lineRule="auto"/>
      <w:ind w:right="425"/>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2390"/>
    <w:pPr>
      <w:tabs>
        <w:tab w:val="center" w:pos="4536"/>
        <w:tab w:val="right" w:pos="9072"/>
      </w:tabs>
    </w:pPr>
  </w:style>
  <w:style w:type="character" w:customStyle="1" w:styleId="ZhlavChar">
    <w:name w:val="Záhlaví Char"/>
    <w:basedOn w:val="Standardnpsmoodstavce"/>
    <w:link w:val="Zhlav"/>
    <w:uiPriority w:val="99"/>
    <w:rsid w:val="005E2390"/>
  </w:style>
  <w:style w:type="paragraph" w:styleId="Zpat">
    <w:name w:val="footer"/>
    <w:basedOn w:val="Normln"/>
    <w:link w:val="ZpatChar"/>
    <w:uiPriority w:val="99"/>
    <w:unhideWhenUsed/>
    <w:rsid w:val="005E2390"/>
    <w:pPr>
      <w:tabs>
        <w:tab w:val="center" w:pos="4536"/>
        <w:tab w:val="right" w:pos="9072"/>
      </w:tabs>
    </w:pPr>
  </w:style>
  <w:style w:type="character" w:customStyle="1" w:styleId="ZpatChar">
    <w:name w:val="Zápatí Char"/>
    <w:basedOn w:val="Standardnpsmoodstavce"/>
    <w:link w:val="Zpat"/>
    <w:uiPriority w:val="99"/>
    <w:rsid w:val="005E2390"/>
  </w:style>
  <w:style w:type="paragraph" w:styleId="Textbubliny">
    <w:name w:val="Balloon Text"/>
    <w:basedOn w:val="Normln"/>
    <w:link w:val="TextbublinyChar"/>
    <w:uiPriority w:val="99"/>
    <w:semiHidden/>
    <w:unhideWhenUsed/>
    <w:rsid w:val="008D7B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B75"/>
    <w:rPr>
      <w:rFonts w:ascii="Segoe UI" w:eastAsia="Calibri" w:hAnsi="Segoe UI" w:cs="Segoe UI"/>
      <w:sz w:val="18"/>
      <w:szCs w:val="18"/>
    </w:rPr>
  </w:style>
  <w:style w:type="paragraph" w:styleId="Odstavecseseznamem">
    <w:name w:val="List Paragraph"/>
    <w:basedOn w:val="Normln"/>
    <w:uiPriority w:val="34"/>
    <w:qFormat/>
    <w:rsid w:val="001E0F7C"/>
    <w:pPr>
      <w:ind w:left="720" w:right="0"/>
      <w:contextualSpacing/>
    </w:pPr>
    <w:rPr>
      <w:rFonts w:ascii="Verdana" w:eastAsiaTheme="minorHAnsi" w:hAnsi="Verdana" w:cstheme="minorBidi"/>
      <w:sz w:val="20"/>
    </w:rPr>
  </w:style>
  <w:style w:type="character" w:styleId="Hypertextovodkaz">
    <w:name w:val="Hyperlink"/>
    <w:basedOn w:val="Standardnpsmoodstavce"/>
    <w:uiPriority w:val="99"/>
    <w:unhideWhenUsed/>
    <w:rsid w:val="001E0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A676-8FAF-4220-95FF-58AAADB0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5269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Jáchym Váně / Media Consult s.r.o.</dc:creator>
  <cp:keywords/>
  <dc:description/>
  <cp:lastModifiedBy>Vlachá Michaela</cp:lastModifiedBy>
  <cp:revision>2</cp:revision>
  <cp:lastPrinted>2019-03-21T09:04:00Z</cp:lastPrinted>
  <dcterms:created xsi:type="dcterms:W3CDTF">2023-04-04T07:13:00Z</dcterms:created>
  <dcterms:modified xsi:type="dcterms:W3CDTF">2023-04-04T07:13:00Z</dcterms:modified>
</cp:coreProperties>
</file>