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DE595C" w14:textId="77777777" w:rsidR="00C8733C" w:rsidRPr="00662049" w:rsidRDefault="00C8733C" w:rsidP="00C8733C">
      <w:pPr>
        <w:pStyle w:val="0Nzevsmlouvy-nejvyssiroven"/>
        <w:rPr>
          <w:rFonts w:ascii="Arial" w:hAnsi="Arial" w:cs="Arial"/>
        </w:rPr>
      </w:pPr>
      <w:r w:rsidRPr="00662049">
        <w:rPr>
          <w:rFonts w:ascii="Arial" w:hAnsi="Arial" w:cs="Arial"/>
        </w:rPr>
        <w:t xml:space="preserve">Smlouva o dílo </w:t>
      </w:r>
    </w:p>
    <w:p w14:paraId="4916C948" w14:textId="77777777" w:rsidR="00C8733C" w:rsidRPr="00662049" w:rsidRDefault="00C8733C" w:rsidP="00C8733C">
      <w:pPr>
        <w:pStyle w:val="0Nzevsmlouvy-nejvyssiroven"/>
        <w:jc w:val="both"/>
        <w:rPr>
          <w:rFonts w:ascii="Arial" w:hAnsi="Arial" w:cs="Arial"/>
          <w:b w:val="0"/>
          <w:sz w:val="18"/>
          <w:szCs w:val="18"/>
        </w:rPr>
      </w:pPr>
      <w:r w:rsidRPr="00662049">
        <w:rPr>
          <w:rFonts w:ascii="Arial" w:hAnsi="Arial" w:cs="Arial"/>
          <w:b w:val="0"/>
          <w:sz w:val="18"/>
          <w:szCs w:val="18"/>
        </w:rPr>
        <w:t>Číslo smlouvy objednatele: SML/0628/22</w:t>
      </w:r>
    </w:p>
    <w:p w14:paraId="0A34A51A" w14:textId="01C2D14B" w:rsidR="00C8733C" w:rsidRPr="00662049" w:rsidRDefault="00C8733C" w:rsidP="00C8733C">
      <w:pPr>
        <w:rPr>
          <w:rFonts w:ascii="Arial" w:hAnsi="Arial" w:cs="Arial"/>
          <w:sz w:val="18"/>
          <w:szCs w:val="18"/>
        </w:rPr>
      </w:pPr>
      <w:r w:rsidRPr="00662049">
        <w:rPr>
          <w:rFonts w:ascii="Arial" w:hAnsi="Arial" w:cs="Arial"/>
          <w:sz w:val="18"/>
          <w:szCs w:val="18"/>
        </w:rPr>
        <w:t xml:space="preserve">číslo smlouvy zhotovitele: </w:t>
      </w:r>
      <w:r w:rsidR="00BA6065">
        <w:rPr>
          <w:rFonts w:ascii="Arial" w:hAnsi="Arial" w:cs="Arial"/>
          <w:sz w:val="18"/>
          <w:szCs w:val="18"/>
        </w:rPr>
        <w:t>SOD003-2023-23044</w:t>
      </w:r>
    </w:p>
    <w:p w14:paraId="20AE9709" w14:textId="77777777" w:rsidR="00C8733C" w:rsidRPr="00662049" w:rsidRDefault="00C8733C" w:rsidP="00C8733C">
      <w:pPr>
        <w:rPr>
          <w:rFonts w:ascii="Arial" w:hAnsi="Arial" w:cs="Arial"/>
          <w:sz w:val="18"/>
          <w:szCs w:val="18"/>
        </w:rPr>
      </w:pPr>
    </w:p>
    <w:p w14:paraId="64E4FDC6" w14:textId="77777777" w:rsidR="00C8733C" w:rsidRPr="00662049" w:rsidRDefault="00C8733C" w:rsidP="00C8733C">
      <w:pPr>
        <w:pStyle w:val="text"/>
        <w:rPr>
          <w:rFonts w:ascii="Arial" w:hAnsi="Arial" w:cs="Arial"/>
          <w:sz w:val="18"/>
          <w:szCs w:val="18"/>
        </w:rPr>
      </w:pPr>
      <w:r w:rsidRPr="00662049">
        <w:rPr>
          <w:rFonts w:ascii="Arial" w:hAnsi="Arial" w:cs="Arial"/>
          <w:sz w:val="18"/>
          <w:szCs w:val="18"/>
        </w:rPr>
        <w:t>uzavřená podle ustanovení § 2586 a následujících zákona č. 89/2012 Sb., občanský zákoník, ve znění pozdějších předpisů, následovně:</w:t>
      </w:r>
    </w:p>
    <w:p w14:paraId="3FE87609" w14:textId="77777777" w:rsidR="00C8733C" w:rsidRPr="00662049" w:rsidRDefault="00C8733C" w:rsidP="00C8733C">
      <w:pPr>
        <w:pStyle w:val="text"/>
        <w:rPr>
          <w:rFonts w:ascii="Arial" w:hAnsi="Arial" w:cs="Arial"/>
        </w:rPr>
      </w:pPr>
    </w:p>
    <w:p w14:paraId="540520B1" w14:textId="77777777" w:rsidR="00C8733C" w:rsidRPr="00662049" w:rsidRDefault="00C8733C" w:rsidP="00C8733C">
      <w:pPr>
        <w:pStyle w:val="11uroven"/>
        <w:numPr>
          <w:ilvl w:val="0"/>
          <w:numId w:val="26"/>
        </w:numPr>
        <w:rPr>
          <w:rFonts w:cs="Arial"/>
        </w:rPr>
      </w:pPr>
      <w:r w:rsidRPr="00662049">
        <w:rPr>
          <w:rFonts w:cs="Arial"/>
        </w:rPr>
        <w:t>Smluvní strany</w:t>
      </w:r>
    </w:p>
    <w:p w14:paraId="63C415F1" w14:textId="77777777" w:rsidR="00C8733C" w:rsidRPr="00662049" w:rsidRDefault="00C8733C" w:rsidP="00C8733C">
      <w:pPr>
        <w:pStyle w:val="22uroven"/>
        <w:numPr>
          <w:ilvl w:val="1"/>
          <w:numId w:val="26"/>
        </w:numPr>
        <w:rPr>
          <w:rFonts w:cs="Arial"/>
        </w:rPr>
      </w:pPr>
      <w:r w:rsidRPr="00662049">
        <w:rPr>
          <w:rFonts w:cs="Arial"/>
        </w:rPr>
        <w:t>Zhotovitel:</w:t>
      </w:r>
    </w:p>
    <w:tbl>
      <w:tblPr>
        <w:tblW w:w="0" w:type="auto"/>
        <w:tblInd w:w="534" w:type="dxa"/>
        <w:tblLook w:val="04A0" w:firstRow="1" w:lastRow="0" w:firstColumn="1" w:lastColumn="0" w:noHBand="0" w:noVBand="1"/>
      </w:tblPr>
      <w:tblGrid>
        <w:gridCol w:w="1121"/>
        <w:gridCol w:w="7417"/>
      </w:tblGrid>
      <w:tr w:rsidR="00C8733C" w:rsidRPr="00662049" w14:paraId="7688874E" w14:textId="77777777" w:rsidTr="00C8733C">
        <w:tc>
          <w:tcPr>
            <w:tcW w:w="1134" w:type="dxa"/>
          </w:tcPr>
          <w:p w14:paraId="748AB11D" w14:textId="77777777" w:rsidR="00C8733C" w:rsidRPr="00662049" w:rsidRDefault="00C8733C">
            <w:pPr>
              <w:pStyle w:val="text"/>
              <w:rPr>
                <w:rFonts w:ascii="Arial" w:hAnsi="Arial" w:cs="Arial"/>
              </w:rPr>
            </w:pPr>
          </w:p>
        </w:tc>
        <w:tc>
          <w:tcPr>
            <w:tcW w:w="7620" w:type="dxa"/>
          </w:tcPr>
          <w:p w14:paraId="07B99B54" w14:textId="5D076498" w:rsidR="00C8733C" w:rsidRPr="00662049" w:rsidRDefault="00047CFE">
            <w:pPr>
              <w:pStyle w:val="text"/>
              <w:rPr>
                <w:rFonts w:ascii="Arial" w:hAnsi="Arial" w:cs="Arial"/>
              </w:rPr>
            </w:pPr>
            <w:r w:rsidRPr="00662049">
              <w:rPr>
                <w:rFonts w:ascii="Arial" w:hAnsi="Arial" w:cs="Arial"/>
              </w:rPr>
              <w:t>GESS-CZ, s.r.o.</w:t>
            </w:r>
          </w:p>
        </w:tc>
      </w:tr>
      <w:tr w:rsidR="00C8733C" w:rsidRPr="00662049" w14:paraId="55647886" w14:textId="77777777" w:rsidTr="00C8733C">
        <w:tc>
          <w:tcPr>
            <w:tcW w:w="1134" w:type="dxa"/>
            <w:hideMark/>
          </w:tcPr>
          <w:p w14:paraId="6EBBB877" w14:textId="77777777" w:rsidR="00C8733C" w:rsidRPr="00662049" w:rsidRDefault="00C8733C">
            <w:pPr>
              <w:pStyle w:val="text"/>
              <w:rPr>
                <w:rFonts w:ascii="Arial" w:hAnsi="Arial" w:cs="Arial"/>
              </w:rPr>
            </w:pPr>
            <w:r w:rsidRPr="00662049">
              <w:rPr>
                <w:rFonts w:ascii="Arial" w:hAnsi="Arial" w:cs="Arial"/>
              </w:rPr>
              <w:t>Sídlo:</w:t>
            </w:r>
          </w:p>
        </w:tc>
        <w:tc>
          <w:tcPr>
            <w:tcW w:w="7620" w:type="dxa"/>
          </w:tcPr>
          <w:p w14:paraId="32A09442" w14:textId="2D07FA1A" w:rsidR="00C8733C" w:rsidRPr="00662049" w:rsidRDefault="00047CFE">
            <w:pPr>
              <w:pStyle w:val="text"/>
              <w:rPr>
                <w:rFonts w:ascii="Arial" w:hAnsi="Arial" w:cs="Arial"/>
              </w:rPr>
            </w:pPr>
            <w:proofErr w:type="spellStart"/>
            <w:r w:rsidRPr="00662049">
              <w:rPr>
                <w:rFonts w:ascii="Arial" w:hAnsi="Arial" w:cs="Arial"/>
              </w:rPr>
              <w:t>Loučská</w:t>
            </w:r>
            <w:proofErr w:type="spellEnd"/>
            <w:r w:rsidRPr="00662049">
              <w:rPr>
                <w:rFonts w:ascii="Arial" w:hAnsi="Arial" w:cs="Arial"/>
              </w:rPr>
              <w:t xml:space="preserve"> 503/31, Lipník nad Bečvou I-Město, 751 31 Lipník nad Bečvou</w:t>
            </w:r>
          </w:p>
        </w:tc>
      </w:tr>
      <w:tr w:rsidR="00C8733C" w:rsidRPr="00662049" w14:paraId="1B697C88" w14:textId="77777777" w:rsidTr="00C8733C">
        <w:tc>
          <w:tcPr>
            <w:tcW w:w="8754" w:type="dxa"/>
            <w:gridSpan w:val="2"/>
            <w:hideMark/>
          </w:tcPr>
          <w:p w14:paraId="0A7090A3" w14:textId="3D04CBE7" w:rsidR="00C8733C" w:rsidRPr="00662049" w:rsidRDefault="00C8733C" w:rsidP="00047CFE">
            <w:pPr>
              <w:pStyle w:val="text"/>
              <w:rPr>
                <w:rFonts w:ascii="Arial" w:hAnsi="Arial" w:cs="Arial"/>
              </w:rPr>
            </w:pPr>
            <w:r w:rsidRPr="00662049">
              <w:rPr>
                <w:rFonts w:ascii="Arial" w:hAnsi="Arial" w:cs="Arial"/>
              </w:rPr>
              <w:t xml:space="preserve">Subjekt je zapsán </w:t>
            </w:r>
            <w:r w:rsidRPr="00662049">
              <w:rPr>
                <w:rFonts w:ascii="Arial" w:hAnsi="Arial" w:cs="Arial"/>
                <w:noProof/>
              </w:rPr>
              <w:t>v obchodním rejstříku u Krajského soudu v </w:t>
            </w:r>
            <w:r w:rsidR="00047CFE" w:rsidRPr="00662049">
              <w:rPr>
                <w:rFonts w:ascii="Arial" w:hAnsi="Arial" w:cs="Arial"/>
                <w:noProof/>
              </w:rPr>
              <w:t>Ostravě</w:t>
            </w:r>
            <w:r w:rsidRPr="00662049">
              <w:rPr>
                <w:rFonts w:ascii="Arial" w:hAnsi="Arial" w:cs="Arial"/>
                <w:noProof/>
              </w:rPr>
              <w:t xml:space="preserve">, oddíl </w:t>
            </w:r>
            <w:r w:rsidR="00047CFE" w:rsidRPr="00662049">
              <w:rPr>
                <w:rFonts w:ascii="Arial" w:hAnsi="Arial" w:cs="Arial"/>
                <w:noProof/>
              </w:rPr>
              <w:t>C</w:t>
            </w:r>
            <w:r w:rsidRPr="00662049">
              <w:rPr>
                <w:rFonts w:ascii="Arial" w:hAnsi="Arial" w:cs="Arial"/>
                <w:noProof/>
              </w:rPr>
              <w:t>, vložka</w:t>
            </w:r>
            <w:r w:rsidR="00047CFE" w:rsidRPr="00662049">
              <w:rPr>
                <w:rFonts w:ascii="Arial" w:hAnsi="Arial" w:cs="Arial"/>
                <w:noProof/>
              </w:rPr>
              <w:t xml:space="preserve"> 28744</w:t>
            </w:r>
            <w:r w:rsidRPr="00662049">
              <w:rPr>
                <w:rFonts w:ascii="Arial" w:hAnsi="Arial" w:cs="Arial"/>
                <w:noProof/>
              </w:rPr>
              <w:t xml:space="preserve"> </w:t>
            </w:r>
          </w:p>
        </w:tc>
      </w:tr>
      <w:tr w:rsidR="00C8733C" w:rsidRPr="00662049" w14:paraId="76433717" w14:textId="77777777" w:rsidTr="00C8733C">
        <w:tc>
          <w:tcPr>
            <w:tcW w:w="1134" w:type="dxa"/>
            <w:hideMark/>
          </w:tcPr>
          <w:p w14:paraId="38DB338A" w14:textId="77777777" w:rsidR="00C8733C" w:rsidRPr="00662049" w:rsidRDefault="00C8733C">
            <w:pPr>
              <w:pStyle w:val="text"/>
              <w:rPr>
                <w:rFonts w:ascii="Arial" w:hAnsi="Arial" w:cs="Arial"/>
              </w:rPr>
            </w:pPr>
            <w:r w:rsidRPr="00662049">
              <w:rPr>
                <w:rFonts w:ascii="Arial" w:hAnsi="Arial" w:cs="Arial"/>
              </w:rPr>
              <w:t>IČO:</w:t>
            </w:r>
          </w:p>
        </w:tc>
        <w:tc>
          <w:tcPr>
            <w:tcW w:w="7620" w:type="dxa"/>
          </w:tcPr>
          <w:p w14:paraId="4C550F92" w14:textId="17F49F3F" w:rsidR="00C8733C" w:rsidRPr="00662049" w:rsidRDefault="00047CFE">
            <w:pPr>
              <w:pStyle w:val="text"/>
              <w:rPr>
                <w:rFonts w:ascii="Arial" w:hAnsi="Arial" w:cs="Arial"/>
              </w:rPr>
            </w:pPr>
            <w:r w:rsidRPr="00662049">
              <w:rPr>
                <w:rFonts w:ascii="Arial" w:hAnsi="Arial" w:cs="Arial"/>
              </w:rPr>
              <w:t>26867770</w:t>
            </w:r>
          </w:p>
        </w:tc>
      </w:tr>
      <w:tr w:rsidR="00C8733C" w:rsidRPr="00662049" w14:paraId="137551CF" w14:textId="77777777" w:rsidTr="00C8733C">
        <w:tc>
          <w:tcPr>
            <w:tcW w:w="1134" w:type="dxa"/>
            <w:hideMark/>
          </w:tcPr>
          <w:p w14:paraId="0BA57282" w14:textId="77777777" w:rsidR="00C8733C" w:rsidRPr="00662049" w:rsidRDefault="00C8733C">
            <w:pPr>
              <w:pStyle w:val="text"/>
              <w:rPr>
                <w:rFonts w:ascii="Arial" w:hAnsi="Arial" w:cs="Arial"/>
              </w:rPr>
            </w:pPr>
            <w:r w:rsidRPr="00662049">
              <w:rPr>
                <w:rFonts w:ascii="Arial" w:hAnsi="Arial" w:cs="Arial"/>
              </w:rPr>
              <w:t>DIČ:</w:t>
            </w:r>
          </w:p>
        </w:tc>
        <w:tc>
          <w:tcPr>
            <w:tcW w:w="7620" w:type="dxa"/>
          </w:tcPr>
          <w:p w14:paraId="65269029" w14:textId="097BE8D5" w:rsidR="00C8733C" w:rsidRPr="00662049" w:rsidRDefault="00047CFE">
            <w:pPr>
              <w:pStyle w:val="text"/>
              <w:rPr>
                <w:rFonts w:ascii="Arial" w:hAnsi="Arial" w:cs="Arial"/>
              </w:rPr>
            </w:pPr>
            <w:r w:rsidRPr="00662049">
              <w:rPr>
                <w:rFonts w:ascii="Arial" w:hAnsi="Arial" w:cs="Arial"/>
              </w:rPr>
              <w:t>CZ26867770</w:t>
            </w:r>
          </w:p>
        </w:tc>
      </w:tr>
      <w:tr w:rsidR="00C8733C" w:rsidRPr="00662049" w14:paraId="4B9B2000" w14:textId="77777777" w:rsidTr="00C8733C">
        <w:tc>
          <w:tcPr>
            <w:tcW w:w="8754" w:type="dxa"/>
            <w:gridSpan w:val="2"/>
            <w:hideMark/>
          </w:tcPr>
          <w:p w14:paraId="16D02EAB" w14:textId="31446487" w:rsidR="00C8733C" w:rsidRPr="00662049" w:rsidRDefault="00C8733C">
            <w:pPr>
              <w:pStyle w:val="text"/>
              <w:rPr>
                <w:rFonts w:ascii="Arial" w:hAnsi="Arial" w:cs="Arial"/>
                <w:noProof/>
              </w:rPr>
            </w:pPr>
            <w:r w:rsidRPr="00662049">
              <w:rPr>
                <w:rFonts w:ascii="Arial" w:hAnsi="Arial" w:cs="Arial"/>
              </w:rPr>
              <w:t xml:space="preserve">Zastoupený: </w:t>
            </w:r>
            <w:r w:rsidR="00047CFE" w:rsidRPr="00662049">
              <w:rPr>
                <w:rFonts w:ascii="Arial" w:hAnsi="Arial" w:cs="Arial"/>
              </w:rPr>
              <w:t>Michalem Pivodou, jednatelem</w:t>
            </w:r>
          </w:p>
        </w:tc>
      </w:tr>
      <w:tr w:rsidR="00C8733C" w:rsidRPr="00662049" w14:paraId="1B09B850" w14:textId="77777777" w:rsidTr="00C8733C">
        <w:tc>
          <w:tcPr>
            <w:tcW w:w="8754" w:type="dxa"/>
            <w:gridSpan w:val="2"/>
          </w:tcPr>
          <w:p w14:paraId="19277D97" w14:textId="77777777" w:rsidR="00C8733C" w:rsidRPr="00662049" w:rsidRDefault="00C8733C">
            <w:pPr>
              <w:pStyle w:val="text"/>
              <w:rPr>
                <w:rFonts w:ascii="Arial" w:hAnsi="Arial" w:cs="Arial"/>
              </w:rPr>
            </w:pPr>
          </w:p>
        </w:tc>
      </w:tr>
    </w:tbl>
    <w:p w14:paraId="5EF0A037" w14:textId="77777777" w:rsidR="00C8733C" w:rsidRPr="00662049" w:rsidRDefault="00C8733C" w:rsidP="00C8733C">
      <w:pPr>
        <w:pStyle w:val="22uroven"/>
        <w:numPr>
          <w:ilvl w:val="1"/>
          <w:numId w:val="26"/>
        </w:numPr>
        <w:rPr>
          <w:rFonts w:cs="Arial"/>
        </w:rPr>
      </w:pPr>
      <w:r w:rsidRPr="00662049">
        <w:rPr>
          <w:rFonts w:cs="Arial"/>
        </w:rPr>
        <w:t>Objednatel:</w:t>
      </w:r>
    </w:p>
    <w:tbl>
      <w:tblPr>
        <w:tblW w:w="0" w:type="auto"/>
        <w:tblInd w:w="534" w:type="dxa"/>
        <w:tblLook w:val="04A0" w:firstRow="1" w:lastRow="0" w:firstColumn="1" w:lastColumn="0" w:noHBand="0" w:noVBand="1"/>
      </w:tblPr>
      <w:tblGrid>
        <w:gridCol w:w="1088"/>
        <w:gridCol w:w="7208"/>
      </w:tblGrid>
      <w:tr w:rsidR="00C8733C" w:rsidRPr="00662049" w14:paraId="2F7CB65F" w14:textId="77777777" w:rsidTr="00C8733C">
        <w:trPr>
          <w:trHeight w:val="34"/>
        </w:trPr>
        <w:tc>
          <w:tcPr>
            <w:tcW w:w="1088" w:type="dxa"/>
          </w:tcPr>
          <w:p w14:paraId="503F3EF0" w14:textId="77777777" w:rsidR="00C8733C" w:rsidRPr="00662049" w:rsidRDefault="00C8733C">
            <w:pPr>
              <w:pStyle w:val="text"/>
              <w:rPr>
                <w:rFonts w:ascii="Arial" w:hAnsi="Arial" w:cs="Arial"/>
              </w:rPr>
            </w:pPr>
          </w:p>
        </w:tc>
        <w:tc>
          <w:tcPr>
            <w:tcW w:w="7208" w:type="dxa"/>
            <w:hideMark/>
          </w:tcPr>
          <w:p w14:paraId="255E58AD" w14:textId="77777777" w:rsidR="00C8733C" w:rsidRPr="00662049" w:rsidRDefault="00C8733C">
            <w:pPr>
              <w:pStyle w:val="text"/>
              <w:rPr>
                <w:rFonts w:ascii="Arial" w:hAnsi="Arial" w:cs="Arial"/>
              </w:rPr>
            </w:pPr>
            <w:r w:rsidRPr="00662049">
              <w:rPr>
                <w:rFonts w:ascii="Arial" w:hAnsi="Arial" w:cs="Arial"/>
              </w:rPr>
              <w:t>Brněnské vodárny a kanalizace, a.s.</w:t>
            </w:r>
          </w:p>
        </w:tc>
      </w:tr>
      <w:tr w:rsidR="00C8733C" w:rsidRPr="00662049" w14:paraId="358FAE88" w14:textId="77777777" w:rsidTr="00C8733C">
        <w:trPr>
          <w:trHeight w:val="34"/>
        </w:trPr>
        <w:tc>
          <w:tcPr>
            <w:tcW w:w="1088" w:type="dxa"/>
            <w:hideMark/>
          </w:tcPr>
          <w:p w14:paraId="5E6D25F7" w14:textId="77777777" w:rsidR="00C8733C" w:rsidRPr="00662049" w:rsidRDefault="00C8733C">
            <w:pPr>
              <w:pStyle w:val="text"/>
              <w:rPr>
                <w:rFonts w:ascii="Arial" w:hAnsi="Arial" w:cs="Arial"/>
              </w:rPr>
            </w:pPr>
            <w:r w:rsidRPr="00662049">
              <w:rPr>
                <w:rFonts w:ascii="Arial" w:hAnsi="Arial" w:cs="Arial"/>
              </w:rPr>
              <w:t>Sídlo:</w:t>
            </w:r>
          </w:p>
        </w:tc>
        <w:tc>
          <w:tcPr>
            <w:tcW w:w="7208" w:type="dxa"/>
            <w:hideMark/>
          </w:tcPr>
          <w:p w14:paraId="1C564B33" w14:textId="77777777" w:rsidR="00C8733C" w:rsidRPr="00662049" w:rsidRDefault="00C8733C">
            <w:pPr>
              <w:pStyle w:val="text"/>
              <w:rPr>
                <w:rFonts w:ascii="Arial" w:hAnsi="Arial" w:cs="Arial"/>
              </w:rPr>
            </w:pPr>
            <w:r w:rsidRPr="00662049">
              <w:rPr>
                <w:rFonts w:ascii="Arial" w:hAnsi="Arial" w:cs="Arial"/>
              </w:rPr>
              <w:t>Pisárecká 555/1a, Pisárky, 603 00 Brno</w:t>
            </w:r>
          </w:p>
        </w:tc>
      </w:tr>
      <w:tr w:rsidR="00C8733C" w:rsidRPr="00662049" w14:paraId="572ABB53" w14:textId="77777777" w:rsidTr="00C8733C">
        <w:trPr>
          <w:trHeight w:val="34"/>
        </w:trPr>
        <w:tc>
          <w:tcPr>
            <w:tcW w:w="8296" w:type="dxa"/>
            <w:gridSpan w:val="2"/>
            <w:hideMark/>
          </w:tcPr>
          <w:p w14:paraId="64276A6D" w14:textId="77777777" w:rsidR="00C8733C" w:rsidRPr="00662049" w:rsidRDefault="00C8733C">
            <w:pPr>
              <w:pStyle w:val="text"/>
              <w:rPr>
                <w:rFonts w:ascii="Arial" w:hAnsi="Arial" w:cs="Arial"/>
              </w:rPr>
            </w:pPr>
            <w:r w:rsidRPr="00662049">
              <w:rPr>
                <w:rFonts w:ascii="Arial" w:hAnsi="Arial" w:cs="Arial"/>
              </w:rPr>
              <w:t>Subjekt je zapsán v obchodním rejstříku u Krajského soudu v Brně, oddíl B, vložka 783</w:t>
            </w:r>
          </w:p>
        </w:tc>
      </w:tr>
      <w:tr w:rsidR="00C8733C" w:rsidRPr="00662049" w14:paraId="174B8D8E" w14:textId="77777777" w:rsidTr="00C8733C">
        <w:trPr>
          <w:trHeight w:val="34"/>
        </w:trPr>
        <w:tc>
          <w:tcPr>
            <w:tcW w:w="1088" w:type="dxa"/>
            <w:hideMark/>
          </w:tcPr>
          <w:p w14:paraId="1D61564A" w14:textId="77777777" w:rsidR="00C8733C" w:rsidRPr="00662049" w:rsidRDefault="00C8733C">
            <w:pPr>
              <w:pStyle w:val="text"/>
              <w:rPr>
                <w:rFonts w:ascii="Arial" w:hAnsi="Arial" w:cs="Arial"/>
              </w:rPr>
            </w:pPr>
            <w:r w:rsidRPr="00662049">
              <w:rPr>
                <w:rFonts w:ascii="Arial" w:hAnsi="Arial" w:cs="Arial"/>
              </w:rPr>
              <w:t>IČO:</w:t>
            </w:r>
          </w:p>
        </w:tc>
        <w:tc>
          <w:tcPr>
            <w:tcW w:w="7208" w:type="dxa"/>
            <w:hideMark/>
          </w:tcPr>
          <w:p w14:paraId="3A382761" w14:textId="77777777" w:rsidR="00C8733C" w:rsidRPr="00662049" w:rsidRDefault="00C8733C">
            <w:pPr>
              <w:pStyle w:val="text"/>
              <w:rPr>
                <w:rFonts w:ascii="Arial" w:hAnsi="Arial" w:cs="Arial"/>
              </w:rPr>
            </w:pPr>
            <w:r w:rsidRPr="00662049">
              <w:rPr>
                <w:rFonts w:ascii="Arial" w:hAnsi="Arial" w:cs="Arial"/>
              </w:rPr>
              <w:t>46347275</w:t>
            </w:r>
          </w:p>
        </w:tc>
      </w:tr>
      <w:tr w:rsidR="00C8733C" w:rsidRPr="00662049" w14:paraId="450C7092" w14:textId="77777777" w:rsidTr="00C8733C">
        <w:trPr>
          <w:trHeight w:val="34"/>
        </w:trPr>
        <w:tc>
          <w:tcPr>
            <w:tcW w:w="1088" w:type="dxa"/>
            <w:hideMark/>
          </w:tcPr>
          <w:p w14:paraId="488247D8" w14:textId="77777777" w:rsidR="00C8733C" w:rsidRPr="00662049" w:rsidRDefault="00C8733C">
            <w:pPr>
              <w:pStyle w:val="text"/>
              <w:rPr>
                <w:rFonts w:ascii="Arial" w:hAnsi="Arial" w:cs="Arial"/>
              </w:rPr>
            </w:pPr>
            <w:r w:rsidRPr="00662049">
              <w:rPr>
                <w:rFonts w:ascii="Arial" w:hAnsi="Arial" w:cs="Arial"/>
              </w:rPr>
              <w:t>DIČ:</w:t>
            </w:r>
          </w:p>
        </w:tc>
        <w:tc>
          <w:tcPr>
            <w:tcW w:w="7208" w:type="dxa"/>
            <w:hideMark/>
          </w:tcPr>
          <w:p w14:paraId="490AF958" w14:textId="77777777" w:rsidR="00C8733C" w:rsidRPr="00662049" w:rsidRDefault="00C8733C">
            <w:pPr>
              <w:pStyle w:val="text"/>
              <w:rPr>
                <w:rFonts w:ascii="Arial" w:hAnsi="Arial" w:cs="Arial"/>
              </w:rPr>
            </w:pPr>
            <w:r w:rsidRPr="00662049">
              <w:rPr>
                <w:rFonts w:ascii="Arial" w:hAnsi="Arial" w:cs="Arial"/>
              </w:rPr>
              <w:t>CZ46347275</w:t>
            </w:r>
          </w:p>
        </w:tc>
      </w:tr>
      <w:tr w:rsidR="00C8733C" w:rsidRPr="00662049" w14:paraId="7AD9B66A" w14:textId="77777777" w:rsidTr="00C8733C">
        <w:trPr>
          <w:trHeight w:val="34"/>
        </w:trPr>
        <w:tc>
          <w:tcPr>
            <w:tcW w:w="8296" w:type="dxa"/>
            <w:gridSpan w:val="2"/>
            <w:hideMark/>
          </w:tcPr>
          <w:tbl>
            <w:tblPr>
              <w:tblW w:w="0" w:type="auto"/>
              <w:tblLook w:val="04A0" w:firstRow="1" w:lastRow="0" w:firstColumn="1" w:lastColumn="0" w:noHBand="0" w:noVBand="1"/>
            </w:tblPr>
            <w:tblGrid>
              <w:gridCol w:w="7568"/>
            </w:tblGrid>
            <w:tr w:rsidR="00C8733C" w:rsidRPr="00662049" w14:paraId="3876E71E" w14:textId="77777777">
              <w:trPr>
                <w:trHeight w:val="34"/>
              </w:trPr>
              <w:tc>
                <w:tcPr>
                  <w:tcW w:w="7568" w:type="dxa"/>
                  <w:hideMark/>
                </w:tcPr>
                <w:p w14:paraId="09477572" w14:textId="6755AF77" w:rsidR="00C8733C" w:rsidRPr="00662049" w:rsidRDefault="00C8733C">
                  <w:pPr>
                    <w:pStyle w:val="text"/>
                    <w:ind w:left="-41"/>
                    <w:rPr>
                      <w:rFonts w:ascii="Arial" w:hAnsi="Arial" w:cs="Arial"/>
                    </w:rPr>
                  </w:pPr>
                  <w:r w:rsidRPr="00662049">
                    <w:rPr>
                      <w:rFonts w:ascii="Arial" w:hAnsi="Arial" w:cs="Arial"/>
                    </w:rPr>
                    <w:t xml:space="preserve">Zastoupený: </w:t>
                  </w:r>
                  <w:r w:rsidR="00B44F89">
                    <w:rPr>
                      <w:rFonts w:ascii="Arial" w:hAnsi="Arial" w:cs="Arial"/>
                    </w:rPr>
                    <w:t>XXX</w:t>
                  </w:r>
                </w:p>
                <w:p w14:paraId="1571592E" w14:textId="77777777" w:rsidR="00C8733C" w:rsidRPr="00662049" w:rsidRDefault="00C8733C">
                  <w:pPr>
                    <w:pStyle w:val="text"/>
                    <w:ind w:left="-41"/>
                    <w:rPr>
                      <w:rFonts w:ascii="Arial" w:hAnsi="Arial" w:cs="Arial"/>
                    </w:rPr>
                  </w:pPr>
                  <w:r w:rsidRPr="00662049">
                    <w:rPr>
                      <w:rFonts w:ascii="Arial" w:hAnsi="Arial" w:cs="Arial"/>
                    </w:rPr>
                    <w:t xml:space="preserve">   </w:t>
                  </w:r>
                </w:p>
              </w:tc>
            </w:tr>
          </w:tbl>
          <w:p w14:paraId="448D4696" w14:textId="77777777" w:rsidR="00C8733C" w:rsidRPr="00662049" w:rsidRDefault="00C8733C">
            <w:pPr>
              <w:pStyle w:val="text"/>
              <w:rPr>
                <w:rFonts w:ascii="Arial" w:hAnsi="Arial" w:cs="Arial"/>
              </w:rPr>
            </w:pPr>
          </w:p>
        </w:tc>
      </w:tr>
    </w:tbl>
    <w:p w14:paraId="0D37FD1E" w14:textId="77777777" w:rsidR="00C8733C" w:rsidRPr="00662049" w:rsidRDefault="00C8733C" w:rsidP="00C8733C">
      <w:pPr>
        <w:pStyle w:val="11uroven"/>
        <w:numPr>
          <w:ilvl w:val="0"/>
          <w:numId w:val="26"/>
        </w:numPr>
        <w:rPr>
          <w:rFonts w:cs="Arial"/>
        </w:rPr>
      </w:pPr>
      <w:r w:rsidRPr="00662049">
        <w:rPr>
          <w:rFonts w:cs="Arial"/>
        </w:rPr>
        <w:t>Podklady k uzavření smlouvy</w:t>
      </w:r>
    </w:p>
    <w:p w14:paraId="37F61E13" w14:textId="0BEE4294" w:rsidR="00C8733C" w:rsidRPr="00662049" w:rsidRDefault="00C8733C" w:rsidP="00C8733C">
      <w:pPr>
        <w:pStyle w:val="22uroven"/>
        <w:numPr>
          <w:ilvl w:val="1"/>
          <w:numId w:val="26"/>
        </w:numPr>
        <w:ind w:left="567" w:hanging="567"/>
        <w:rPr>
          <w:rFonts w:cs="Arial"/>
        </w:rPr>
      </w:pPr>
      <w:r w:rsidRPr="00662049">
        <w:rPr>
          <w:rFonts w:cs="Arial"/>
        </w:rPr>
        <w:t xml:space="preserve">Smlouva je uzavřena na základě nabídky zhotovitele ze dne </w:t>
      </w:r>
      <w:r w:rsidR="00357D85" w:rsidRPr="00662049">
        <w:rPr>
          <w:rFonts w:cs="Arial"/>
        </w:rPr>
        <w:t xml:space="preserve">30. 1. 2023 </w:t>
      </w:r>
      <w:r w:rsidRPr="00662049">
        <w:rPr>
          <w:rFonts w:cs="Arial"/>
        </w:rPr>
        <w:t>a výzvy k podání nabídek ze dne 10. 1. 2023, č. SML/0628/22.</w:t>
      </w:r>
    </w:p>
    <w:p w14:paraId="77EC7EE3" w14:textId="77777777" w:rsidR="00C8733C" w:rsidRPr="00662049" w:rsidRDefault="00C8733C" w:rsidP="00C8733C">
      <w:pPr>
        <w:pStyle w:val="11uroven"/>
        <w:numPr>
          <w:ilvl w:val="0"/>
          <w:numId w:val="26"/>
        </w:numPr>
        <w:rPr>
          <w:rFonts w:cs="Arial"/>
        </w:rPr>
      </w:pPr>
      <w:r w:rsidRPr="00662049">
        <w:rPr>
          <w:rFonts w:cs="Arial"/>
        </w:rPr>
        <w:t>Předmět smlouvy</w:t>
      </w:r>
    </w:p>
    <w:p w14:paraId="46CCCF50" w14:textId="66646B59" w:rsidR="00C8733C" w:rsidRPr="00662049" w:rsidRDefault="00C8733C" w:rsidP="00C8733C">
      <w:pPr>
        <w:pStyle w:val="22uroven"/>
        <w:numPr>
          <w:ilvl w:val="1"/>
          <w:numId w:val="26"/>
        </w:numPr>
        <w:ind w:left="567" w:hanging="567"/>
        <w:rPr>
          <w:rFonts w:cs="Arial"/>
        </w:rPr>
      </w:pPr>
      <w:r w:rsidRPr="00662049">
        <w:rPr>
          <w:rFonts w:cs="Arial"/>
        </w:rPr>
        <w:t>Zhotovitel se zavazuje osobně provést na svůj náklad a nebezpečí pro</w:t>
      </w:r>
      <w:r w:rsidR="0087348E" w:rsidRPr="00662049">
        <w:rPr>
          <w:rFonts w:cs="Arial"/>
        </w:rPr>
        <w:t xml:space="preserve"> objednatele dílo spočívající v opravě</w:t>
      </w:r>
      <w:r w:rsidRPr="00662049">
        <w:rPr>
          <w:rFonts w:cs="Arial"/>
        </w:rPr>
        <w:t xml:space="preserve"> drapáku na lapáku štěrku umístěného na </w:t>
      </w:r>
      <w:r w:rsidR="00203978" w:rsidRPr="00662049">
        <w:rPr>
          <w:rFonts w:cs="Arial"/>
        </w:rPr>
        <w:t>portálové jeřábové konstrukci o </w:t>
      </w:r>
      <w:r w:rsidRPr="00662049">
        <w:rPr>
          <w:rFonts w:cs="Arial"/>
        </w:rPr>
        <w:t xml:space="preserve">nosnosti 1,5 tuny s užitnou nosností 0,8 tuny, a to v následujícím rozsahu prací: </w:t>
      </w:r>
    </w:p>
    <w:p w14:paraId="3A3A0BDA" w14:textId="2A66B19E" w:rsidR="00C8733C" w:rsidRPr="00662049" w:rsidRDefault="00C8733C" w:rsidP="00C8733C">
      <w:pPr>
        <w:pStyle w:val="33uroven"/>
        <w:numPr>
          <w:ilvl w:val="2"/>
          <w:numId w:val="26"/>
        </w:numPr>
        <w:rPr>
          <w:rFonts w:cs="Arial"/>
        </w:rPr>
      </w:pPr>
      <w:r w:rsidRPr="00662049">
        <w:rPr>
          <w:rFonts w:cs="Arial"/>
        </w:rPr>
        <w:t xml:space="preserve">Repase drapáku (lžíce) - výměna všech čepů a pouzder, kalibrace otvorů pro čepy, oprava dosedacích hran (břitů) obou polovin lžíce, kalibrace hlavní hřídele a repase kladek, výměna </w:t>
      </w:r>
      <w:r w:rsidRPr="00662049">
        <w:rPr>
          <w:rFonts w:cs="Arial"/>
        </w:rPr>
        <w:lastRenderedPageBreak/>
        <w:t xml:space="preserve">ovládacích táhel, nový spojovací materiál, nové maznice </w:t>
      </w:r>
      <w:r w:rsidR="00C44F3F" w:rsidRPr="00662049">
        <w:rPr>
          <w:rFonts w:cs="Arial"/>
        </w:rPr>
        <w:t>pro čepy, nová lana pro zdvih a </w:t>
      </w:r>
      <w:r w:rsidRPr="00662049">
        <w:rPr>
          <w:rFonts w:cs="Arial"/>
        </w:rPr>
        <w:t>otevírání drapáku, nový ochranný nátěr;</w:t>
      </w:r>
    </w:p>
    <w:p w14:paraId="5FE5713A" w14:textId="77777777" w:rsidR="00C8733C" w:rsidRPr="00662049" w:rsidRDefault="00C8733C" w:rsidP="00C8733C">
      <w:pPr>
        <w:pStyle w:val="33uroven"/>
        <w:numPr>
          <w:ilvl w:val="2"/>
          <w:numId w:val="26"/>
        </w:numPr>
        <w:rPr>
          <w:rFonts w:cs="Arial"/>
        </w:rPr>
      </w:pPr>
      <w:r w:rsidRPr="00662049">
        <w:rPr>
          <w:rFonts w:cs="Arial"/>
        </w:rPr>
        <w:t>Oprava pojezdové lávky nesoucí pohony drapáku -  repase 4 ks pojezdových kol navařením a soustružením, osazení kol novými ložisky a těsnícími prvky, oprava povrchu nosné konstrukce lávky (tryskání a lakování min 250 µm), oprava povrchů krytů a oplechování (tryskání a lakování min 250 µm), generální oprava 2 ks převodových skříní pro pohon pojezdu;</w:t>
      </w:r>
    </w:p>
    <w:p w14:paraId="00359F68" w14:textId="092A578E" w:rsidR="00C8733C" w:rsidRPr="00662049" w:rsidRDefault="00C8733C" w:rsidP="00C8733C">
      <w:pPr>
        <w:pStyle w:val="33uroven"/>
        <w:numPr>
          <w:ilvl w:val="2"/>
          <w:numId w:val="26"/>
        </w:numPr>
        <w:rPr>
          <w:rFonts w:cs="Arial"/>
        </w:rPr>
      </w:pPr>
      <w:r w:rsidRPr="00662049">
        <w:rPr>
          <w:rFonts w:cs="Arial"/>
        </w:rPr>
        <w:t>Oprava pohonné jednotky drapáku - generální oprava převodové skříně pro zdvih drapáku, generální oprava převodové skříně pro ot</w:t>
      </w:r>
      <w:r w:rsidR="00C44F3F" w:rsidRPr="00662049">
        <w:rPr>
          <w:rFonts w:cs="Arial"/>
        </w:rPr>
        <w:t>e</w:t>
      </w:r>
      <w:r w:rsidRPr="00662049">
        <w:rPr>
          <w:rFonts w:cs="Arial"/>
        </w:rPr>
        <w:t>vírání/zavírání drapáku, oprava/výměna všech hřídelových spojek, repase brzdy zdvihu drapáku vč. uložení a příslušenství, repase brzdy pro ot</w:t>
      </w:r>
      <w:r w:rsidR="00C44F3F" w:rsidRPr="00662049">
        <w:rPr>
          <w:rFonts w:cs="Arial"/>
        </w:rPr>
        <w:t>e</w:t>
      </w:r>
      <w:r w:rsidRPr="00662049">
        <w:rPr>
          <w:rFonts w:cs="Arial"/>
        </w:rPr>
        <w:t>vírání/zavírání drapáku vč. uložení a příslušenství, generální oprava navíjecího bubnu pro zdvih drapáku, generální oprava navíjecího bubnu pro ot</w:t>
      </w:r>
      <w:r w:rsidR="00C44F3F" w:rsidRPr="00662049">
        <w:rPr>
          <w:rFonts w:cs="Arial"/>
        </w:rPr>
        <w:t>e</w:t>
      </w:r>
      <w:r w:rsidRPr="00662049">
        <w:rPr>
          <w:rFonts w:cs="Arial"/>
        </w:rPr>
        <w:t>vírání/zavírání drapáku;</w:t>
      </w:r>
    </w:p>
    <w:p w14:paraId="24310A63" w14:textId="77777777" w:rsidR="00C8733C" w:rsidRPr="00662049" w:rsidRDefault="00C8733C" w:rsidP="00C8733C">
      <w:pPr>
        <w:pStyle w:val="33uroven"/>
        <w:numPr>
          <w:ilvl w:val="2"/>
          <w:numId w:val="26"/>
        </w:numPr>
        <w:rPr>
          <w:rFonts w:cs="Arial"/>
        </w:rPr>
      </w:pPr>
      <w:r w:rsidRPr="00662049">
        <w:rPr>
          <w:rFonts w:cs="Arial"/>
        </w:rPr>
        <w:t>Oprava pojezdové lávky nesoucí kabinu obsluhy - repase 4 ks pojezdových kol navařením a soustružením, osazení kol novými ložisky a těsnícími prvky, oprava povrchu nosné konstrukce lávky (tryskání a lakování min 250 µm), oprava povrchů krytů a oplechování (tryskání a lakování min 250 µm), repase čepové spojky mezi pojezdovou lávkou kabiny a pohonu drapáku, výměna rámu pro závěs kabiny;</w:t>
      </w:r>
    </w:p>
    <w:p w14:paraId="086834E3" w14:textId="77777777" w:rsidR="00C8733C" w:rsidRPr="00662049" w:rsidRDefault="00C8733C" w:rsidP="00C8733C">
      <w:pPr>
        <w:pStyle w:val="33uroven"/>
        <w:numPr>
          <w:ilvl w:val="2"/>
          <w:numId w:val="26"/>
        </w:numPr>
        <w:rPr>
          <w:rFonts w:cs="Arial"/>
        </w:rPr>
      </w:pPr>
      <w:r w:rsidRPr="00662049">
        <w:rPr>
          <w:rFonts w:cs="Arial"/>
        </w:rPr>
        <w:t>Oprava kabiny - oprava nosné konstrukce kabiny, výměna horního hlavního závěsu, výměna oken vč. těsnění, výměna horního poklopu, výměna podlahy, výměna vstupních dveří, výměna sedadla, ovládací páky (joystick), výměna vnitřního osvětlení, oprava vnějšího i vnitřního povrchu kabiny a oplechování (tryskání a lakování min 250 µm);</w:t>
      </w:r>
    </w:p>
    <w:p w14:paraId="20C19DD1" w14:textId="77777777" w:rsidR="00C8733C" w:rsidRPr="00662049" w:rsidRDefault="00C8733C" w:rsidP="00C8733C">
      <w:pPr>
        <w:pStyle w:val="33uroven"/>
        <w:numPr>
          <w:ilvl w:val="2"/>
          <w:numId w:val="26"/>
        </w:numPr>
        <w:rPr>
          <w:rFonts w:cs="Arial"/>
        </w:rPr>
      </w:pPr>
      <w:r w:rsidRPr="00662049">
        <w:rPr>
          <w:rFonts w:cs="Arial"/>
        </w:rPr>
        <w:t>Demontážní a montážní práce - demontáž/zpětná montáž pohonné jednotky, demontáž/zpětná montáž lávky pohonu drapáku vč. drapáku a lan, demontáž/zpětná montáž kabiny, demontáž/zpětná montáž lávky nesoucí kabinu, odpojení/připojení elektroniky, převoz do/zpět z výrobního závodu zhotovitele, jeřábová a manipulační technika;</w:t>
      </w:r>
    </w:p>
    <w:p w14:paraId="3ED01AFD" w14:textId="4091B9EB" w:rsidR="00C8733C" w:rsidRPr="00662049" w:rsidRDefault="00C8733C" w:rsidP="00C8733C">
      <w:pPr>
        <w:pStyle w:val="33uroven"/>
        <w:numPr>
          <w:ilvl w:val="2"/>
          <w:numId w:val="26"/>
        </w:numPr>
        <w:rPr>
          <w:rFonts w:cs="Arial"/>
        </w:rPr>
      </w:pPr>
      <w:r w:rsidRPr="00662049">
        <w:rPr>
          <w:rFonts w:cs="Arial"/>
        </w:rPr>
        <w:t>Ostatní - výměna osvětlení pracovního prostoru před kabinou, výměna koncových spínačů pojezdu lávky, elektroinstalační materiál, oprava ochranné l</w:t>
      </w:r>
      <w:r w:rsidR="006E15C2" w:rsidRPr="00662049">
        <w:rPr>
          <w:rFonts w:cs="Arial"/>
        </w:rPr>
        <w:t xml:space="preserve">ávky v místě nástupu výměnou za nerezové provedení, </w:t>
      </w:r>
      <w:r w:rsidRPr="00662049">
        <w:rPr>
          <w:rFonts w:cs="Arial"/>
        </w:rPr>
        <w:t>výměna žebříku pro nástup do kabiny výměnou za nerezové provedení, horizontální a vertikální rektifikace kolejové dráhy a její zafixování, vytvoř</w:t>
      </w:r>
      <w:r w:rsidR="006E15C2" w:rsidRPr="00662049">
        <w:rPr>
          <w:rFonts w:cs="Arial"/>
        </w:rPr>
        <w:t xml:space="preserve">ení výrobní strojní a elektro dokumentace, </w:t>
      </w:r>
      <w:r w:rsidRPr="00662049">
        <w:rPr>
          <w:rFonts w:cs="Arial"/>
        </w:rPr>
        <w:t>prohlášení o shodě, návod</w:t>
      </w:r>
      <w:r w:rsidR="006E15C2" w:rsidRPr="00662049">
        <w:rPr>
          <w:rFonts w:cs="Arial"/>
        </w:rPr>
        <w:t>u</w:t>
      </w:r>
      <w:r w:rsidRPr="00662049">
        <w:rPr>
          <w:rFonts w:cs="Arial"/>
        </w:rPr>
        <w:t xml:space="preserve"> k obsluze a </w:t>
      </w:r>
      <w:r w:rsidR="006E15C2" w:rsidRPr="00662049">
        <w:rPr>
          <w:rFonts w:cs="Arial"/>
        </w:rPr>
        <w:t xml:space="preserve">zajištění </w:t>
      </w:r>
      <w:r w:rsidRPr="00662049">
        <w:rPr>
          <w:rFonts w:cs="Arial"/>
        </w:rPr>
        <w:t>veškeré potřebné revize.</w:t>
      </w:r>
    </w:p>
    <w:p w14:paraId="50A8415D" w14:textId="77777777" w:rsidR="00C8733C" w:rsidRPr="00662049" w:rsidRDefault="00C8733C" w:rsidP="00C8733C">
      <w:pPr>
        <w:pStyle w:val="22uroven"/>
        <w:numPr>
          <w:ilvl w:val="0"/>
          <w:numId w:val="0"/>
        </w:numPr>
        <w:ind w:left="567"/>
        <w:rPr>
          <w:rFonts w:cs="Arial"/>
        </w:rPr>
      </w:pPr>
      <w:r w:rsidRPr="00662049">
        <w:rPr>
          <w:rFonts w:cs="Arial"/>
        </w:rPr>
        <w:t xml:space="preserve"> (dále jako „předmět smlouvy“ nebo „dílo“). </w:t>
      </w:r>
    </w:p>
    <w:p w14:paraId="61E06460" w14:textId="77777777" w:rsidR="00C8733C" w:rsidRPr="00662049" w:rsidRDefault="00C8733C" w:rsidP="00C8733C">
      <w:pPr>
        <w:pStyle w:val="22uroven"/>
        <w:numPr>
          <w:ilvl w:val="1"/>
          <w:numId w:val="26"/>
        </w:numPr>
        <w:ind w:left="567" w:hanging="567"/>
        <w:rPr>
          <w:rFonts w:cs="Arial"/>
        </w:rPr>
      </w:pPr>
      <w:r w:rsidRPr="00662049">
        <w:rPr>
          <w:rFonts w:cs="Arial"/>
        </w:rPr>
        <w:t>Objednatel se zavazuje toto dílo převzít a zaplatit sjednanou cenu.</w:t>
      </w:r>
    </w:p>
    <w:p w14:paraId="78779DAC" w14:textId="77777777" w:rsidR="00C8733C" w:rsidRPr="00662049" w:rsidRDefault="00C8733C" w:rsidP="00C8733C">
      <w:pPr>
        <w:pStyle w:val="22uroven"/>
        <w:numPr>
          <w:ilvl w:val="1"/>
          <w:numId w:val="26"/>
        </w:numPr>
        <w:ind w:left="567" w:hanging="567"/>
        <w:rPr>
          <w:rFonts w:cs="Arial"/>
        </w:rPr>
      </w:pPr>
      <w:r w:rsidRPr="00662049">
        <w:rPr>
          <w:rFonts w:cs="Arial"/>
        </w:rPr>
        <w:t>Objednatel se zavazuje poskytnout zhotoviteli součinnost nezbytnou k provedení díla.</w:t>
      </w:r>
    </w:p>
    <w:p w14:paraId="1FE8D7C8" w14:textId="77777777" w:rsidR="00C8733C" w:rsidRPr="00662049" w:rsidRDefault="00C8733C" w:rsidP="00C8733C">
      <w:pPr>
        <w:pStyle w:val="11uroven"/>
        <w:numPr>
          <w:ilvl w:val="0"/>
          <w:numId w:val="26"/>
        </w:numPr>
        <w:rPr>
          <w:rFonts w:cs="Arial"/>
        </w:rPr>
      </w:pPr>
      <w:r w:rsidRPr="00662049">
        <w:rPr>
          <w:rFonts w:cs="Arial"/>
        </w:rPr>
        <w:t>Doba plnění</w:t>
      </w:r>
    </w:p>
    <w:p w14:paraId="42AAD6B8" w14:textId="5774AD14" w:rsidR="00C8733C" w:rsidRPr="00662049" w:rsidRDefault="00C8733C" w:rsidP="00C8733C">
      <w:pPr>
        <w:pStyle w:val="22uroven"/>
        <w:numPr>
          <w:ilvl w:val="1"/>
          <w:numId w:val="26"/>
        </w:numPr>
        <w:ind w:left="567" w:hanging="567"/>
        <w:rPr>
          <w:rFonts w:cs="Arial"/>
        </w:rPr>
      </w:pPr>
      <w:r w:rsidRPr="00662049">
        <w:rPr>
          <w:rFonts w:cs="Arial"/>
        </w:rPr>
        <w:t>Realizace díla bude probíhat od podpisu smlouvy do 30. 10. 2023.</w:t>
      </w:r>
    </w:p>
    <w:p w14:paraId="3220BC5F" w14:textId="3A1D6FD4" w:rsidR="00BC6DC4" w:rsidRPr="00662049" w:rsidRDefault="00BC6DC4" w:rsidP="00C8733C">
      <w:pPr>
        <w:pStyle w:val="22uroven"/>
        <w:numPr>
          <w:ilvl w:val="1"/>
          <w:numId w:val="26"/>
        </w:numPr>
        <w:ind w:left="567" w:hanging="567"/>
        <w:rPr>
          <w:rFonts w:cs="Arial"/>
        </w:rPr>
      </w:pPr>
      <w:r w:rsidRPr="00662049">
        <w:rPr>
          <w:rFonts w:cs="Arial"/>
        </w:rPr>
        <w:t>Dílo bude plněno po částech</w:t>
      </w:r>
      <w:r w:rsidR="00C04D45" w:rsidRPr="00662049">
        <w:rPr>
          <w:rFonts w:cs="Arial"/>
        </w:rPr>
        <w:t>, v </w:t>
      </w:r>
      <w:r w:rsidR="000A4748" w:rsidRPr="00662049">
        <w:rPr>
          <w:rFonts w:cs="Arial"/>
        </w:rPr>
        <w:t>termínech</w:t>
      </w:r>
      <w:r w:rsidR="00C04D45" w:rsidRPr="00662049">
        <w:rPr>
          <w:rFonts w:cs="Arial"/>
        </w:rPr>
        <w:t xml:space="preserve"> dle dohody mezi objednatelem a zhotovitelem</w:t>
      </w:r>
      <w:r w:rsidRPr="00662049">
        <w:rPr>
          <w:rFonts w:cs="Arial"/>
        </w:rPr>
        <w:t xml:space="preserve">. </w:t>
      </w:r>
    </w:p>
    <w:p w14:paraId="2EFC1A20" w14:textId="77777777" w:rsidR="00C8733C" w:rsidRPr="00662049" w:rsidRDefault="00C8733C" w:rsidP="00C8733C">
      <w:pPr>
        <w:pStyle w:val="11uroven"/>
        <w:numPr>
          <w:ilvl w:val="0"/>
          <w:numId w:val="26"/>
        </w:numPr>
        <w:rPr>
          <w:rFonts w:cs="Arial"/>
        </w:rPr>
      </w:pPr>
      <w:r w:rsidRPr="00662049">
        <w:rPr>
          <w:rFonts w:cs="Arial"/>
        </w:rPr>
        <w:t>Místo plnění, požadavky na provedení díla a jeho předání</w:t>
      </w:r>
    </w:p>
    <w:p w14:paraId="188309D4" w14:textId="77777777" w:rsidR="00C8733C" w:rsidRPr="00662049" w:rsidRDefault="00C8733C" w:rsidP="00C8733C">
      <w:pPr>
        <w:pStyle w:val="22uroven"/>
        <w:numPr>
          <w:ilvl w:val="1"/>
          <w:numId w:val="26"/>
        </w:numPr>
        <w:ind w:left="567" w:hanging="567"/>
        <w:rPr>
          <w:rFonts w:cs="Arial"/>
        </w:rPr>
      </w:pPr>
      <w:r w:rsidRPr="00662049">
        <w:rPr>
          <w:rFonts w:cs="Arial"/>
        </w:rPr>
        <w:t xml:space="preserve">Místem plnění je ČOV Brno – Mořice, Chrlická 552, 664 42 Modřice. </w:t>
      </w:r>
    </w:p>
    <w:p w14:paraId="761CD970" w14:textId="6B12FD14" w:rsidR="00C8733C" w:rsidRPr="00662049" w:rsidRDefault="00C8733C" w:rsidP="00C8733C">
      <w:pPr>
        <w:pStyle w:val="22uroven"/>
        <w:numPr>
          <w:ilvl w:val="1"/>
          <w:numId w:val="26"/>
        </w:numPr>
        <w:ind w:left="567" w:hanging="567"/>
        <w:rPr>
          <w:rFonts w:cs="Arial"/>
        </w:rPr>
      </w:pPr>
      <w:r w:rsidRPr="00662049">
        <w:rPr>
          <w:rFonts w:cs="Arial"/>
        </w:rPr>
        <w:t>Objednatel provede kontrolu provedení díla vždy ihned při předání</w:t>
      </w:r>
      <w:r w:rsidR="00BC6DC4" w:rsidRPr="00662049">
        <w:rPr>
          <w:rFonts w:cs="Arial"/>
        </w:rPr>
        <w:t xml:space="preserve"> dílčího plnění</w:t>
      </w:r>
      <w:r w:rsidRPr="00662049">
        <w:rPr>
          <w:rFonts w:cs="Arial"/>
        </w:rPr>
        <w:t xml:space="preserve">, aby mohl bezprostředně uplatnit případné vady díla. </w:t>
      </w:r>
    </w:p>
    <w:p w14:paraId="4BCE8C35" w14:textId="1413C5A0" w:rsidR="00C8733C" w:rsidRPr="00662049" w:rsidRDefault="00C8733C" w:rsidP="00C8733C">
      <w:pPr>
        <w:pStyle w:val="22uroven"/>
        <w:numPr>
          <w:ilvl w:val="1"/>
          <w:numId w:val="26"/>
        </w:numPr>
        <w:ind w:left="567" w:hanging="567"/>
        <w:rPr>
          <w:rFonts w:cs="Arial"/>
        </w:rPr>
      </w:pPr>
      <w:r w:rsidRPr="00662049">
        <w:rPr>
          <w:rFonts w:cs="Arial"/>
        </w:rPr>
        <w:t xml:space="preserve">O dokončení a předání </w:t>
      </w:r>
      <w:r w:rsidR="00BC6DC4" w:rsidRPr="00662049">
        <w:rPr>
          <w:rFonts w:cs="Arial"/>
        </w:rPr>
        <w:t>dílčího plnění</w:t>
      </w:r>
      <w:r w:rsidRPr="00662049">
        <w:rPr>
          <w:rFonts w:cs="Arial"/>
        </w:rPr>
        <w:t xml:space="preserve"> objednateli vyhotoví smluvní strany předávací protokol,</w:t>
      </w:r>
      <w:r w:rsidR="00BC6DC4" w:rsidRPr="00662049">
        <w:rPr>
          <w:rFonts w:cs="Arial"/>
        </w:rPr>
        <w:t xml:space="preserve"> z </w:t>
      </w:r>
      <w:r w:rsidRPr="00662049">
        <w:rPr>
          <w:rFonts w:cs="Arial"/>
        </w:rPr>
        <w:t>něhož bude zřejmý rozsah provedených pracích a</w:t>
      </w:r>
      <w:r w:rsidR="00BC6DC4" w:rsidRPr="00662049">
        <w:rPr>
          <w:rFonts w:cs="Arial"/>
        </w:rPr>
        <w:t xml:space="preserve"> případné výhrady objednatele k </w:t>
      </w:r>
      <w:r w:rsidRPr="00662049">
        <w:rPr>
          <w:rFonts w:cs="Arial"/>
        </w:rPr>
        <w:t xml:space="preserve">dokončenému </w:t>
      </w:r>
      <w:r w:rsidR="00BC6DC4" w:rsidRPr="00662049">
        <w:rPr>
          <w:rFonts w:cs="Arial"/>
        </w:rPr>
        <w:t>dílčímu plnění</w:t>
      </w:r>
      <w:r w:rsidRPr="00662049">
        <w:rPr>
          <w:rFonts w:cs="Arial"/>
        </w:rPr>
        <w:t>.</w:t>
      </w:r>
    </w:p>
    <w:p w14:paraId="4DE5A418" w14:textId="0854DD6A" w:rsidR="00C8733C" w:rsidRPr="00662049" w:rsidRDefault="00C8733C" w:rsidP="00C8733C">
      <w:pPr>
        <w:pStyle w:val="22uroven"/>
        <w:numPr>
          <w:ilvl w:val="1"/>
          <w:numId w:val="26"/>
        </w:numPr>
        <w:ind w:left="567" w:hanging="567"/>
        <w:rPr>
          <w:rFonts w:cs="Arial"/>
        </w:rPr>
      </w:pPr>
      <w:r w:rsidRPr="00662049">
        <w:rPr>
          <w:rFonts w:cs="Arial"/>
        </w:rPr>
        <w:lastRenderedPageBreak/>
        <w:t xml:space="preserve">Nebezpečí škody na </w:t>
      </w:r>
      <w:r w:rsidR="0096573C" w:rsidRPr="00662049">
        <w:rPr>
          <w:rFonts w:cs="Arial"/>
        </w:rPr>
        <w:t>dílčím plnění</w:t>
      </w:r>
      <w:r w:rsidRPr="00662049">
        <w:rPr>
          <w:rFonts w:cs="Arial"/>
        </w:rPr>
        <w:t xml:space="preserve"> přechází na objednatele okamžikem jeho předání.</w:t>
      </w:r>
    </w:p>
    <w:p w14:paraId="7DD51A8F" w14:textId="77777777" w:rsidR="00C8733C" w:rsidRPr="00662049" w:rsidRDefault="00C8733C" w:rsidP="00C8733C">
      <w:pPr>
        <w:pStyle w:val="11uroven"/>
        <w:numPr>
          <w:ilvl w:val="0"/>
          <w:numId w:val="26"/>
        </w:numPr>
        <w:rPr>
          <w:rFonts w:cs="Arial"/>
        </w:rPr>
      </w:pPr>
      <w:r w:rsidRPr="00662049">
        <w:rPr>
          <w:rFonts w:cs="Arial"/>
        </w:rPr>
        <w:t xml:space="preserve"> Cena díla</w:t>
      </w:r>
    </w:p>
    <w:p w14:paraId="7368EB17" w14:textId="4FEE313B" w:rsidR="00C8733C" w:rsidRPr="00662049" w:rsidRDefault="009A43DC" w:rsidP="00C8733C">
      <w:pPr>
        <w:pStyle w:val="22uroven"/>
        <w:numPr>
          <w:ilvl w:val="1"/>
          <w:numId w:val="26"/>
        </w:numPr>
        <w:ind w:left="567" w:hanging="567"/>
        <w:rPr>
          <w:rFonts w:cs="Arial"/>
        </w:rPr>
      </w:pPr>
      <w:r w:rsidRPr="00662049">
        <w:rPr>
          <w:rFonts w:cs="Arial"/>
        </w:rPr>
        <w:t>Smluvní strany se dohodly na celkové ceně za splnění předmětu smlouvy v částce 2 951 890,- </w:t>
      </w:r>
      <w:r w:rsidR="00C8733C" w:rsidRPr="00662049">
        <w:rPr>
          <w:rFonts w:cs="Arial"/>
        </w:rPr>
        <w:t>Kč bez DPH.</w:t>
      </w:r>
      <w:r w:rsidR="00D52668" w:rsidRPr="00662049">
        <w:rPr>
          <w:rFonts w:cs="Arial"/>
        </w:rPr>
        <w:t xml:space="preserve"> </w:t>
      </w:r>
    </w:p>
    <w:p w14:paraId="1B0FB709" w14:textId="1E028BAB" w:rsidR="00C8733C" w:rsidRPr="00662049" w:rsidRDefault="000F33EA" w:rsidP="00C8733C">
      <w:pPr>
        <w:pStyle w:val="22uroven"/>
        <w:numPr>
          <w:ilvl w:val="1"/>
          <w:numId w:val="26"/>
        </w:numPr>
        <w:ind w:left="567" w:hanging="567"/>
        <w:rPr>
          <w:rFonts w:cs="Arial"/>
        </w:rPr>
      </w:pPr>
      <w:r w:rsidRPr="00662049">
        <w:rPr>
          <w:rFonts w:cs="Arial"/>
        </w:rPr>
        <w:t>K ceně</w:t>
      </w:r>
      <w:r w:rsidR="00C8733C" w:rsidRPr="00662049">
        <w:rPr>
          <w:rFonts w:cs="Arial"/>
        </w:rPr>
        <w:t xml:space="preserve"> bude připočítána DPH v platné výši.</w:t>
      </w:r>
    </w:p>
    <w:p w14:paraId="44ED9A7A" w14:textId="6EE1145F" w:rsidR="00C8733C" w:rsidRPr="00662049" w:rsidRDefault="00C8733C" w:rsidP="00C8733C">
      <w:pPr>
        <w:pStyle w:val="22uroven"/>
        <w:numPr>
          <w:ilvl w:val="1"/>
          <w:numId w:val="26"/>
        </w:numPr>
        <w:ind w:left="567" w:hanging="567"/>
        <w:rPr>
          <w:rFonts w:cs="Arial"/>
        </w:rPr>
      </w:pPr>
      <w:r w:rsidRPr="00662049">
        <w:rPr>
          <w:rFonts w:cs="Arial"/>
        </w:rPr>
        <w:t>Celková cena za splnění předmětu smlouvy zahrnuje veškeré i v</w:t>
      </w:r>
      <w:r w:rsidR="001433B3" w:rsidRPr="00662049">
        <w:rPr>
          <w:rFonts w:cs="Arial"/>
        </w:rPr>
        <w:t xml:space="preserve">edlejší náklady na splnění díla, vč. dopravy do místa plnění. </w:t>
      </w:r>
    </w:p>
    <w:p w14:paraId="6A4C1BBA" w14:textId="77777777" w:rsidR="00C8733C" w:rsidRPr="00662049" w:rsidRDefault="00C8733C" w:rsidP="00C8733C">
      <w:pPr>
        <w:pStyle w:val="11uroven"/>
        <w:numPr>
          <w:ilvl w:val="0"/>
          <w:numId w:val="26"/>
        </w:numPr>
        <w:rPr>
          <w:rFonts w:cs="Arial"/>
        </w:rPr>
      </w:pPr>
      <w:r w:rsidRPr="00662049">
        <w:rPr>
          <w:rFonts w:cs="Arial"/>
        </w:rPr>
        <w:t>Platební podmínky</w:t>
      </w:r>
    </w:p>
    <w:p w14:paraId="04D08D82" w14:textId="5D07D9F5" w:rsidR="00C8733C" w:rsidRPr="00662049" w:rsidRDefault="00C8733C" w:rsidP="00C8733C">
      <w:pPr>
        <w:pStyle w:val="22uroven"/>
        <w:numPr>
          <w:ilvl w:val="1"/>
          <w:numId w:val="26"/>
        </w:numPr>
        <w:ind w:left="567" w:hanging="567"/>
        <w:rPr>
          <w:rFonts w:cs="Arial"/>
        </w:rPr>
      </w:pPr>
      <w:r w:rsidRPr="00662049">
        <w:rPr>
          <w:rFonts w:cs="Arial"/>
        </w:rPr>
        <w:t xml:space="preserve">Datem zdanitelného plnění se rozumí den předání </w:t>
      </w:r>
      <w:r w:rsidR="00F93BB3" w:rsidRPr="00662049">
        <w:rPr>
          <w:rFonts w:cs="Arial"/>
        </w:rPr>
        <w:t>dílčího plnění</w:t>
      </w:r>
      <w:r w:rsidRPr="00662049">
        <w:rPr>
          <w:rFonts w:cs="Arial"/>
        </w:rPr>
        <w:t>.</w:t>
      </w:r>
      <w:r w:rsidR="00D52668" w:rsidRPr="00662049">
        <w:rPr>
          <w:rFonts w:cs="Arial"/>
        </w:rPr>
        <w:t xml:space="preserve"> </w:t>
      </w:r>
    </w:p>
    <w:p w14:paraId="4FD16D06" w14:textId="0D828A4E" w:rsidR="00C8733C" w:rsidRPr="00662049" w:rsidRDefault="00C8733C" w:rsidP="00333BF6">
      <w:pPr>
        <w:pStyle w:val="22uroven"/>
        <w:numPr>
          <w:ilvl w:val="1"/>
          <w:numId w:val="26"/>
        </w:numPr>
        <w:ind w:left="567" w:hanging="567"/>
        <w:rPr>
          <w:rFonts w:cs="Arial"/>
        </w:rPr>
      </w:pPr>
      <w:r w:rsidRPr="00662049">
        <w:rPr>
          <w:rFonts w:cs="Arial"/>
        </w:rPr>
        <w:t xml:space="preserve">Cena </w:t>
      </w:r>
      <w:r w:rsidR="00F93BB3" w:rsidRPr="00662049">
        <w:rPr>
          <w:rFonts w:cs="Arial"/>
        </w:rPr>
        <w:t>díla</w:t>
      </w:r>
      <w:r w:rsidRPr="00662049">
        <w:rPr>
          <w:rFonts w:cs="Arial"/>
        </w:rPr>
        <w:t xml:space="preserve"> bude uhrazena na základě </w:t>
      </w:r>
      <w:r w:rsidR="00D06B98" w:rsidRPr="00662049">
        <w:rPr>
          <w:rFonts w:cs="Arial"/>
        </w:rPr>
        <w:t xml:space="preserve">dílčích faktur </w:t>
      </w:r>
      <w:r w:rsidR="00333BF6" w:rsidRPr="00662049">
        <w:rPr>
          <w:rFonts w:cs="Arial"/>
        </w:rPr>
        <w:t xml:space="preserve">vystavených zhotovitelem </w:t>
      </w:r>
      <w:r w:rsidR="00241CBE" w:rsidRPr="00662049">
        <w:rPr>
          <w:rFonts w:cs="Arial"/>
        </w:rPr>
        <w:t>dle</w:t>
      </w:r>
      <w:r w:rsidR="00333BF6" w:rsidRPr="00662049">
        <w:rPr>
          <w:rFonts w:cs="Arial"/>
        </w:rPr>
        <w:t xml:space="preserve"> předávacího protokolu </w:t>
      </w:r>
      <w:r w:rsidR="00241CBE" w:rsidRPr="00662049">
        <w:rPr>
          <w:rFonts w:cs="Arial"/>
        </w:rPr>
        <w:t>podepsaného</w:t>
      </w:r>
      <w:r w:rsidR="00333BF6" w:rsidRPr="00662049">
        <w:rPr>
          <w:rFonts w:cs="Arial"/>
        </w:rPr>
        <w:t xml:space="preserve"> oběma smluvními stranami. Splatnost dílčích faktur se sjednává na </w:t>
      </w:r>
      <w:r w:rsidR="00BA6065">
        <w:rPr>
          <w:rFonts w:cs="Arial"/>
        </w:rPr>
        <w:t>45</w:t>
      </w:r>
      <w:r w:rsidRPr="00662049">
        <w:rPr>
          <w:rFonts w:cs="Arial"/>
        </w:rPr>
        <w:t xml:space="preserve"> dní od doručení faktury objednateli. V případě prodlení s platbou je objednatel povinen uhradit zhotoviteli úrok ve výši stanovené právním předpisem.</w:t>
      </w:r>
    </w:p>
    <w:p w14:paraId="30504CE2" w14:textId="77777777" w:rsidR="00C8733C" w:rsidRPr="00662049" w:rsidRDefault="00C8733C" w:rsidP="00C8733C">
      <w:pPr>
        <w:pStyle w:val="22uroven"/>
        <w:numPr>
          <w:ilvl w:val="1"/>
          <w:numId w:val="26"/>
        </w:numPr>
        <w:ind w:left="567" w:hanging="567"/>
        <w:rPr>
          <w:rFonts w:cs="Arial"/>
        </w:rPr>
      </w:pPr>
      <w:r w:rsidRPr="00662049">
        <w:rPr>
          <w:rFonts w:cs="Arial"/>
        </w:rPr>
        <w:t xml:space="preserve">Zhotovitel uvede na faktuře číslo smlouvy objednatele. Platba bude provedena převodem na účet zhotovitele uvedený ve faktuře. </w:t>
      </w:r>
    </w:p>
    <w:p w14:paraId="13A23B71" w14:textId="77777777" w:rsidR="00C8733C" w:rsidRPr="00662049" w:rsidRDefault="00C8733C" w:rsidP="00C8733C">
      <w:pPr>
        <w:pStyle w:val="22uroven"/>
        <w:numPr>
          <w:ilvl w:val="1"/>
          <w:numId w:val="26"/>
        </w:numPr>
        <w:ind w:left="567" w:hanging="567"/>
        <w:rPr>
          <w:rFonts w:cs="Arial"/>
        </w:rPr>
      </w:pPr>
      <w:r w:rsidRPr="00662049">
        <w:rPr>
          <w:rFonts w:cs="Arial"/>
        </w:rPr>
        <w:t>Adresa pro doručování faktur a písemností je sídlo objednatele. Elektronická faktura se doručuje na adresu faktury@bvk.cz.</w:t>
      </w:r>
    </w:p>
    <w:p w14:paraId="51CF2083" w14:textId="77777777" w:rsidR="00C8733C" w:rsidRPr="00662049" w:rsidRDefault="00C8733C" w:rsidP="00C8733C">
      <w:pPr>
        <w:pStyle w:val="22uroven"/>
        <w:numPr>
          <w:ilvl w:val="1"/>
          <w:numId w:val="26"/>
        </w:numPr>
        <w:ind w:left="567" w:hanging="567"/>
        <w:rPr>
          <w:rFonts w:cs="Arial"/>
        </w:rPr>
      </w:pPr>
      <w:r w:rsidRPr="00662049">
        <w:rPr>
          <w:rFonts w:cs="Arial"/>
        </w:rPr>
        <w:t xml:space="preserve">V případě, že zhotovitel získá v době průběhu zdanitelného plnění, rozhodnutím správce daně, status nespolehlivého plátce, v souladu s ustanovením § 106a zákona č. 235/2004 Sb., o dani z přidané hodnoty, ve znění pozdějších předpisů, uhradí objednatel DPH z poskytnutého plnění dle § 109a téhož zákona přímo příslušnému správci daně namísto zhotovitele a následně uhradí zhotoviteli sjednanou cenu za poskytnuté plnění, poníženou o takto zaplacenou daň. </w:t>
      </w:r>
    </w:p>
    <w:p w14:paraId="121F1FDA" w14:textId="55A0FC96" w:rsidR="00C8733C" w:rsidRPr="00662049" w:rsidRDefault="00C8733C" w:rsidP="00D52668">
      <w:pPr>
        <w:pStyle w:val="22uroven"/>
        <w:ind w:left="567" w:hanging="567"/>
        <w:rPr>
          <w:rFonts w:cs="Arial"/>
        </w:rPr>
      </w:pPr>
      <w:r w:rsidRPr="00662049">
        <w:rPr>
          <w:rFonts w:cs="Arial"/>
        </w:rPr>
        <w:t>Objednatel tuto skutečnost využití „zvláštního způsobu zajištění daně“ p</w:t>
      </w:r>
      <w:r w:rsidR="00D52668" w:rsidRPr="00662049">
        <w:rPr>
          <w:rFonts w:cs="Arial"/>
        </w:rPr>
        <w:t xml:space="preserve">ísemně oznámí zhotoviteli do 5 </w:t>
      </w:r>
      <w:r w:rsidRPr="00662049">
        <w:rPr>
          <w:rFonts w:cs="Arial"/>
        </w:rPr>
        <w:t>dnů od úhrady a zároveň připojí kopii dokladu o uhrazení DPH včetně identifikace úhrady podle § 109a zákona č. 235/2004 Sb., o dani z přidané hodnoty, ve znění pozdějších předpisů.</w:t>
      </w:r>
    </w:p>
    <w:p w14:paraId="4F15B501" w14:textId="77777777" w:rsidR="00C8733C" w:rsidRPr="00662049" w:rsidRDefault="00C8733C" w:rsidP="00D52668">
      <w:pPr>
        <w:pStyle w:val="22uroven"/>
        <w:ind w:left="567" w:hanging="567"/>
        <w:rPr>
          <w:rFonts w:cs="Arial"/>
        </w:rPr>
      </w:pPr>
      <w:r w:rsidRPr="00662049">
        <w:rPr>
          <w:rFonts w:cs="Arial"/>
        </w:rPr>
        <w:t>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ECDB3CB" w14:textId="77777777" w:rsidR="00C8733C" w:rsidRPr="00662049" w:rsidRDefault="00C8733C" w:rsidP="00C8733C">
      <w:pPr>
        <w:pStyle w:val="11uroven"/>
        <w:numPr>
          <w:ilvl w:val="0"/>
          <w:numId w:val="26"/>
        </w:numPr>
        <w:rPr>
          <w:rFonts w:cs="Arial"/>
        </w:rPr>
      </w:pPr>
      <w:r w:rsidRPr="00662049">
        <w:rPr>
          <w:rFonts w:cs="Arial"/>
        </w:rPr>
        <w:t xml:space="preserve">Záruka za jakost </w:t>
      </w:r>
    </w:p>
    <w:p w14:paraId="047730B7" w14:textId="094B52FD" w:rsidR="00C8733C" w:rsidRPr="00662049" w:rsidRDefault="00C8733C" w:rsidP="00C8733C">
      <w:pPr>
        <w:pStyle w:val="22uroven"/>
        <w:numPr>
          <w:ilvl w:val="1"/>
          <w:numId w:val="26"/>
        </w:numPr>
        <w:ind w:left="510" w:hanging="510"/>
        <w:rPr>
          <w:rFonts w:cs="Arial"/>
        </w:rPr>
      </w:pPr>
      <w:r w:rsidRPr="00662049">
        <w:rPr>
          <w:rFonts w:cs="Arial"/>
        </w:rPr>
        <w:t xml:space="preserve">Zhotovitel poskytuje na jakost díla záruku v délce trvání </w:t>
      </w:r>
      <w:r w:rsidR="001B7705" w:rsidRPr="00662049">
        <w:rPr>
          <w:rFonts w:cs="Arial"/>
        </w:rPr>
        <w:t>24 měsíců od předání díla.</w:t>
      </w:r>
    </w:p>
    <w:p w14:paraId="6B949845" w14:textId="77777777" w:rsidR="00C8733C" w:rsidRPr="00662049" w:rsidRDefault="00C8733C" w:rsidP="00C8733C">
      <w:pPr>
        <w:pStyle w:val="22uroven"/>
        <w:numPr>
          <w:ilvl w:val="1"/>
          <w:numId w:val="26"/>
        </w:numPr>
        <w:ind w:left="510" w:hanging="510"/>
        <w:rPr>
          <w:rFonts w:cs="Arial"/>
        </w:rPr>
      </w:pPr>
      <w:r w:rsidRPr="00662049">
        <w:rPr>
          <w:rFonts w:cs="Arial"/>
        </w:rPr>
        <w:t xml:space="preserve">Záruční doba začíná běžet dnem předání díla objednateli. </w:t>
      </w:r>
    </w:p>
    <w:p w14:paraId="3EA28D52" w14:textId="77777777" w:rsidR="00C8733C" w:rsidRPr="00662049" w:rsidRDefault="00C8733C" w:rsidP="00C8733C">
      <w:pPr>
        <w:pStyle w:val="11uroven"/>
        <w:numPr>
          <w:ilvl w:val="0"/>
          <w:numId w:val="26"/>
        </w:numPr>
        <w:rPr>
          <w:rFonts w:cs="Arial"/>
        </w:rPr>
      </w:pPr>
      <w:r w:rsidRPr="00662049">
        <w:rPr>
          <w:rFonts w:cs="Arial"/>
        </w:rPr>
        <w:t>Odpovědnost za vady</w:t>
      </w:r>
    </w:p>
    <w:p w14:paraId="7D145F2C" w14:textId="2C561CE8" w:rsidR="00C8733C" w:rsidRPr="00662049" w:rsidRDefault="00C8733C" w:rsidP="00C8733C">
      <w:pPr>
        <w:pStyle w:val="22uroven"/>
        <w:numPr>
          <w:ilvl w:val="1"/>
          <w:numId w:val="26"/>
        </w:numPr>
        <w:ind w:left="567" w:hanging="567"/>
        <w:rPr>
          <w:rFonts w:cs="Arial"/>
        </w:rPr>
      </w:pPr>
      <w:r w:rsidRPr="00662049">
        <w:rPr>
          <w:rFonts w:cs="Arial"/>
        </w:rPr>
        <w:t xml:space="preserve">Zhotovitel se zavazuje, že dílo bude </w:t>
      </w:r>
      <w:r w:rsidR="001B7705" w:rsidRPr="00662049">
        <w:rPr>
          <w:rFonts w:cs="Arial"/>
        </w:rPr>
        <w:t xml:space="preserve">provedeno řádně, včas a bude </w:t>
      </w:r>
      <w:r w:rsidRPr="00662049">
        <w:rPr>
          <w:rFonts w:cs="Arial"/>
        </w:rPr>
        <w:t xml:space="preserve">mít vlastnosti stanovené smlouvou. </w:t>
      </w:r>
    </w:p>
    <w:p w14:paraId="119419C4" w14:textId="77777777" w:rsidR="00C8733C" w:rsidRPr="00662049" w:rsidRDefault="00C8733C" w:rsidP="00C8733C">
      <w:pPr>
        <w:pStyle w:val="22uroven"/>
        <w:numPr>
          <w:ilvl w:val="1"/>
          <w:numId w:val="26"/>
        </w:numPr>
        <w:ind w:left="567" w:hanging="567"/>
        <w:rPr>
          <w:rFonts w:cs="Arial"/>
        </w:rPr>
      </w:pPr>
      <w:r w:rsidRPr="00662049">
        <w:rPr>
          <w:rFonts w:cs="Arial"/>
        </w:rPr>
        <w:t>Objednatel oznámí vady díla bez zbytečného odkladu poté, kdy je zjistil nebo při náležité pozornosti zjistit měl, nejpozději však do dvou let od předání díla.</w:t>
      </w:r>
    </w:p>
    <w:p w14:paraId="79AD3490" w14:textId="77777777" w:rsidR="00C8733C" w:rsidRPr="00662049" w:rsidRDefault="00C8733C" w:rsidP="00C8733C">
      <w:pPr>
        <w:pStyle w:val="22uroven"/>
        <w:numPr>
          <w:ilvl w:val="1"/>
          <w:numId w:val="26"/>
        </w:numPr>
        <w:ind w:left="510" w:hanging="510"/>
        <w:rPr>
          <w:rFonts w:cs="Arial"/>
        </w:rPr>
      </w:pPr>
      <w:r w:rsidRPr="00662049">
        <w:rPr>
          <w:rFonts w:cs="Arial"/>
        </w:rPr>
        <w:t xml:space="preserve">Tímto nejsou dotčena práva z vadného plnění a právo na náhradu škody dle platných právních předpisů. </w:t>
      </w:r>
    </w:p>
    <w:p w14:paraId="04C679A5" w14:textId="77777777" w:rsidR="00C8733C" w:rsidRPr="00662049" w:rsidRDefault="00C8733C" w:rsidP="00C8733C">
      <w:pPr>
        <w:pStyle w:val="11uroven"/>
        <w:numPr>
          <w:ilvl w:val="0"/>
          <w:numId w:val="26"/>
        </w:numPr>
        <w:rPr>
          <w:rFonts w:cs="Arial"/>
        </w:rPr>
      </w:pPr>
      <w:r w:rsidRPr="00662049">
        <w:rPr>
          <w:rFonts w:cs="Arial"/>
        </w:rPr>
        <w:lastRenderedPageBreak/>
        <w:t>Ostatní ujednání</w:t>
      </w:r>
    </w:p>
    <w:p w14:paraId="4D354FD6" w14:textId="77777777" w:rsidR="00C8733C" w:rsidRPr="00662049" w:rsidRDefault="00C8733C" w:rsidP="00C8733C">
      <w:pPr>
        <w:pStyle w:val="22uroven"/>
        <w:numPr>
          <w:ilvl w:val="1"/>
          <w:numId w:val="26"/>
        </w:numPr>
        <w:ind w:left="567" w:hanging="567"/>
        <w:rPr>
          <w:rFonts w:cs="Arial"/>
        </w:rPr>
      </w:pPr>
      <w:r w:rsidRPr="00662049">
        <w:rPr>
          <w:rFonts w:cs="Arial"/>
        </w:rPr>
        <w:t xml:space="preserve">Vznikne-li zhotoviteli při plnění předmětu smlouvy odpad, je zhotovitel považován za jeho původce a je povinen takto vzniklý odpad začlenit do své evidence odpadů a dále s ním nakládat v souladu s platnou legislativou. Zhotovitel se stává vlastníkem vzniklého odpadu nejpozději okamžikem jeho vzniku. Objednatel není původcem odpadu. </w:t>
      </w:r>
    </w:p>
    <w:p w14:paraId="1144949E"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je podnikatelem a uzavírá smlouvu při svém podnikání a na smlouvu se tudíž neuplatní ustanovení § 1793 odst. 1 zákona č. 89/2012 Sb., občanský zákoník, ve znění pozdějších předpisů, (dále jako „občanský zákoník“).</w:t>
      </w:r>
    </w:p>
    <w:p w14:paraId="0F063D01" w14:textId="77777777" w:rsidR="00C8733C" w:rsidRPr="00662049" w:rsidRDefault="00C8733C" w:rsidP="00C8733C">
      <w:pPr>
        <w:pStyle w:val="22uroven"/>
        <w:numPr>
          <w:ilvl w:val="1"/>
          <w:numId w:val="26"/>
        </w:numPr>
        <w:ind w:left="567" w:hanging="567"/>
        <w:rPr>
          <w:rFonts w:cs="Arial"/>
        </w:rPr>
      </w:pPr>
      <w:r w:rsidRPr="00662049">
        <w:rPr>
          <w:rFonts w:cs="Arial"/>
        </w:rPr>
        <w:t>Zhotovitel prohlašuje, že na sebe přebírá nebezpečí změny okolnosti podle ustanovení § 1765 občanského zákoníku.</w:t>
      </w:r>
    </w:p>
    <w:p w14:paraId="7D5F0D67"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že:</w:t>
      </w:r>
    </w:p>
    <w:p w14:paraId="4292118B" w14:textId="35E3F810" w:rsidR="00C8733C" w:rsidRPr="00662049" w:rsidRDefault="00C8733C" w:rsidP="00C8733C">
      <w:pPr>
        <w:pStyle w:val="odrka"/>
        <w:numPr>
          <w:ilvl w:val="0"/>
          <w:numId w:val="27"/>
        </w:numPr>
        <w:ind w:left="851" w:hanging="284"/>
        <w:rPr>
          <w:rFonts w:cs="Arial"/>
        </w:rPr>
      </w:pPr>
      <w:r w:rsidRPr="00662049">
        <w:rPr>
          <w:rFonts w:cs="Arial"/>
        </w:rPr>
        <w:t xml:space="preserve">zajistí </w:t>
      </w:r>
      <w:r w:rsidR="003D582A" w:rsidRPr="00662049">
        <w:rPr>
          <w:rFonts w:cs="Arial"/>
        </w:rPr>
        <w:t>provedení díla</w:t>
      </w:r>
      <w:r w:rsidRPr="00662049">
        <w:rPr>
          <w:rFonts w:cs="Arial"/>
        </w:rPr>
        <w:t xml:space="preserve"> v souladu s obecně závaznými právními předpisy v oblasti bezpečnosti a ochrany zdraví při práci (BOZP), požární ochrany (PO) a životního prostředí (ŽP),</w:t>
      </w:r>
    </w:p>
    <w:p w14:paraId="78B7D556" w14:textId="77777777" w:rsidR="00C8733C" w:rsidRPr="00662049" w:rsidRDefault="00C8733C" w:rsidP="00C8733C">
      <w:pPr>
        <w:pStyle w:val="odrka"/>
        <w:numPr>
          <w:ilvl w:val="0"/>
          <w:numId w:val="27"/>
        </w:numPr>
        <w:ind w:left="851" w:hanging="284"/>
        <w:rPr>
          <w:rFonts w:cs="Arial"/>
        </w:rPr>
      </w:pPr>
      <w:r w:rsidRPr="00662049">
        <w:rPr>
          <w:rFonts w:cs="Arial"/>
        </w:rPr>
        <w:t>bude v areálech objednatele jednat v souladu s pokyny, se kterými bude prokazatelně seznámen.</w:t>
      </w:r>
    </w:p>
    <w:p w14:paraId="3F804E43" w14:textId="77777777" w:rsidR="00C8733C" w:rsidRPr="00662049" w:rsidRDefault="00C8733C" w:rsidP="00C8733C">
      <w:pPr>
        <w:pStyle w:val="22uroven"/>
        <w:numPr>
          <w:ilvl w:val="1"/>
          <w:numId w:val="26"/>
        </w:numPr>
        <w:ind w:left="567" w:hanging="567"/>
        <w:rPr>
          <w:rFonts w:cs="Arial"/>
        </w:rPr>
      </w:pPr>
      <w:r w:rsidRPr="0066204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38472A4B" w14:textId="77777777"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1D2E63CD" w14:textId="77777777"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17B7802C" w14:textId="77777777"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75BCE382" w14:textId="77777777"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při plnění zakázky bude preferováno ekonomicky přijatelné řešení pro inovaci, tedy pro implementaci nového nebo značně zlepšeného produktu nebo služby</w:t>
      </w:r>
    </w:p>
    <w:p w14:paraId="6A70F606" w14:textId="77777777" w:rsidR="00C8733C" w:rsidRPr="00662049" w:rsidRDefault="00C8733C" w:rsidP="00C8733C">
      <w:pPr>
        <w:pStyle w:val="odrka"/>
        <w:numPr>
          <w:ilvl w:val="0"/>
          <w:numId w:val="0"/>
        </w:numPr>
        <w:ind w:left="1406" w:hanging="555"/>
        <w:rPr>
          <w:rFonts w:cs="Arial"/>
        </w:rPr>
      </w:pPr>
      <w:r w:rsidRPr="00662049">
        <w:rPr>
          <w:rFonts w:cs="Arial"/>
        </w:rPr>
        <w:t>•</w:t>
      </w:r>
      <w:r w:rsidRPr="00662049">
        <w:rPr>
          <w:rFonts w:cs="Arial"/>
        </w:rPr>
        <w:tab/>
        <w:t xml:space="preserve">při plnění zakázky bude kladen důraz na dodržení postupů a použití materiálů zajišťujících kvalitu dodávky a tento postup doloží příslušnými doklady </w:t>
      </w:r>
    </w:p>
    <w:p w14:paraId="0A9B3181" w14:textId="77777777" w:rsidR="00C8733C" w:rsidRPr="00662049" w:rsidRDefault="00C8733C" w:rsidP="00C8733C">
      <w:pPr>
        <w:pStyle w:val="22uroven"/>
        <w:numPr>
          <w:ilvl w:val="1"/>
          <w:numId w:val="26"/>
        </w:numPr>
        <w:ind w:left="567" w:hanging="567"/>
        <w:rPr>
          <w:rFonts w:cs="Arial"/>
        </w:rPr>
      </w:pPr>
      <w:r w:rsidRPr="00662049">
        <w:rPr>
          <w:rFonts w:cs="Arial"/>
        </w:rPr>
        <w:t>Zhotovitel bere na vědomí a souhlasí s tím, že porušování uvedených povinností může být bráno jako podstatné porušení smluvního vztahu.</w:t>
      </w:r>
    </w:p>
    <w:p w14:paraId="7EC6D5DC" w14:textId="77777777" w:rsidR="00C8733C" w:rsidRPr="00662049" w:rsidRDefault="00C8733C" w:rsidP="00C8733C">
      <w:pPr>
        <w:pStyle w:val="22uroven"/>
        <w:numPr>
          <w:ilvl w:val="1"/>
          <w:numId w:val="26"/>
        </w:numPr>
        <w:ind w:left="567" w:hanging="567"/>
        <w:rPr>
          <w:rFonts w:cs="Arial"/>
        </w:rPr>
      </w:pPr>
      <w:r w:rsidRPr="00662049">
        <w:rPr>
          <w:rFonts w:cs="Arial"/>
        </w:rPr>
        <w:t>Zhotovitel se zavazuje bezodkladně informovat objednatele o jakékoliv aktualizaci či změně jeho oprávnění k podnikání a to prokazatelným způsobem.</w:t>
      </w:r>
    </w:p>
    <w:p w14:paraId="2D075B60" w14:textId="77777777" w:rsidR="00C8733C" w:rsidRPr="00662049" w:rsidRDefault="00C8733C" w:rsidP="00C8733C">
      <w:pPr>
        <w:pStyle w:val="11uroven"/>
        <w:numPr>
          <w:ilvl w:val="0"/>
          <w:numId w:val="26"/>
        </w:numPr>
        <w:ind w:left="357" w:hanging="357"/>
        <w:rPr>
          <w:rFonts w:cs="Arial"/>
        </w:rPr>
      </w:pPr>
      <w:r w:rsidRPr="00662049">
        <w:rPr>
          <w:rFonts w:cs="Arial"/>
        </w:rPr>
        <w:t>Účinnost smlouvy, odstoupení, sankce, ukončení smlouvy</w:t>
      </w:r>
    </w:p>
    <w:p w14:paraId="0E492E7F" w14:textId="77777777" w:rsidR="00C8733C" w:rsidRPr="00662049" w:rsidRDefault="00C8733C" w:rsidP="00C8733C">
      <w:pPr>
        <w:pStyle w:val="22uroven"/>
        <w:numPr>
          <w:ilvl w:val="1"/>
          <w:numId w:val="26"/>
        </w:numPr>
        <w:ind w:left="567" w:hanging="567"/>
        <w:rPr>
          <w:rFonts w:cs="Arial"/>
        </w:rPr>
      </w:pPr>
      <w:r w:rsidRPr="00662049">
        <w:rPr>
          <w:rFonts w:cs="Arial"/>
        </w:rPr>
        <w:t>Tato smlouva je uzavřena a nabývá účinnosti podpisem obou smluvních stran. Smlouva se uzavírá na dobu určitou, a to od data podpisu smluvních stran do 30. 10. 2023.</w:t>
      </w:r>
    </w:p>
    <w:p w14:paraId="28896F97" w14:textId="77777777" w:rsidR="00C8733C" w:rsidRPr="00662049" w:rsidRDefault="00C8733C" w:rsidP="00C8733C">
      <w:pPr>
        <w:pStyle w:val="22uroven"/>
        <w:numPr>
          <w:ilvl w:val="1"/>
          <w:numId w:val="26"/>
        </w:numPr>
        <w:ind w:left="567" w:hanging="567"/>
        <w:rPr>
          <w:rFonts w:cs="Arial"/>
        </w:rPr>
      </w:pPr>
      <w:r w:rsidRPr="0066204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3B8AC933" w14:textId="77777777" w:rsidR="00C8733C" w:rsidRPr="00662049" w:rsidRDefault="00C8733C" w:rsidP="00C8733C">
      <w:pPr>
        <w:pStyle w:val="22uroven"/>
        <w:numPr>
          <w:ilvl w:val="1"/>
          <w:numId w:val="26"/>
        </w:numPr>
        <w:ind w:left="567" w:hanging="567"/>
        <w:rPr>
          <w:rFonts w:cs="Arial"/>
        </w:rPr>
      </w:pPr>
      <w:r w:rsidRPr="00662049">
        <w:rPr>
          <w:rFonts w:cs="Arial"/>
        </w:rPr>
        <w:t xml:space="preserve">Podstatným porušením této smlouvy se rozumí zejména: </w:t>
      </w:r>
    </w:p>
    <w:p w14:paraId="56557F18" w14:textId="77777777" w:rsidR="00C8733C" w:rsidRPr="003D190C" w:rsidRDefault="00C8733C" w:rsidP="00C8733C">
      <w:pPr>
        <w:pStyle w:val="odrka"/>
        <w:numPr>
          <w:ilvl w:val="0"/>
          <w:numId w:val="28"/>
        </w:numPr>
        <w:rPr>
          <w:rFonts w:cs="Arial"/>
        </w:rPr>
      </w:pPr>
      <w:r w:rsidRPr="00662049">
        <w:rPr>
          <w:rFonts w:cs="Arial"/>
        </w:rPr>
        <w:lastRenderedPageBreak/>
        <w:t xml:space="preserve">prodlení zhotovitele s plněním v dohodnutém termínu delší než 15 dnů z viny </w:t>
      </w:r>
      <w:r w:rsidRPr="003D190C">
        <w:rPr>
          <w:rFonts w:cs="Arial"/>
        </w:rPr>
        <w:t>na straně zhotovitele,</w:t>
      </w:r>
    </w:p>
    <w:p w14:paraId="28F9A632" w14:textId="77777777" w:rsidR="00C8733C" w:rsidRPr="003D190C" w:rsidRDefault="00C8733C" w:rsidP="00C8733C">
      <w:pPr>
        <w:pStyle w:val="odrka"/>
        <w:numPr>
          <w:ilvl w:val="0"/>
          <w:numId w:val="28"/>
        </w:numPr>
        <w:rPr>
          <w:rFonts w:cs="Arial"/>
        </w:rPr>
      </w:pPr>
      <w:r w:rsidRPr="003D190C">
        <w:rPr>
          <w:rFonts w:cs="Arial"/>
        </w:rPr>
        <w:t>prodlení objednatele s uhrazením faktury delší než 15 dnů.</w:t>
      </w:r>
    </w:p>
    <w:p w14:paraId="0C6983EA" w14:textId="77777777" w:rsidR="00C8733C" w:rsidRPr="003D190C" w:rsidRDefault="00C8733C" w:rsidP="00C8733C">
      <w:pPr>
        <w:widowControl/>
        <w:numPr>
          <w:ilvl w:val="1"/>
          <w:numId w:val="26"/>
        </w:numPr>
        <w:spacing w:before="120" w:after="120"/>
        <w:ind w:left="567" w:hanging="567"/>
        <w:rPr>
          <w:rFonts w:ascii="Arial" w:hAnsi="Arial" w:cs="Arial"/>
        </w:rPr>
      </w:pPr>
      <w:r w:rsidRPr="003D190C">
        <w:rPr>
          <w:rFonts w:ascii="Arial" w:hAnsi="Arial" w:cs="Arial"/>
        </w:rPr>
        <w:t xml:space="preserve">Smlouvu lze ukončit: </w:t>
      </w:r>
    </w:p>
    <w:p w14:paraId="46F660E1"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dohodou obou smluvních stran,</w:t>
      </w:r>
    </w:p>
    <w:p w14:paraId="74EF6C68"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písemnou výpovědí s výpovědní dobou 3 měsíců. Výpovědní doba počíná běžet první den měsíce následujícího po obdržení výpovědi,</w:t>
      </w:r>
    </w:p>
    <w:p w14:paraId="201EB55D" w14:textId="77777777" w:rsidR="00C8733C" w:rsidRPr="003D190C" w:rsidRDefault="00C8733C" w:rsidP="00C8733C">
      <w:pPr>
        <w:widowControl/>
        <w:numPr>
          <w:ilvl w:val="0"/>
          <w:numId w:val="29"/>
        </w:numPr>
        <w:spacing w:before="120" w:after="120"/>
        <w:rPr>
          <w:rFonts w:ascii="Arial" w:hAnsi="Arial" w:cs="Arial"/>
        </w:rPr>
      </w:pPr>
      <w:r w:rsidRPr="003D190C">
        <w:rPr>
          <w:rFonts w:ascii="Arial" w:hAnsi="Arial" w:cs="Arial"/>
        </w:rPr>
        <w:t>zánikem jedné ze smluvních stran bez právního nástupce.</w:t>
      </w:r>
    </w:p>
    <w:p w14:paraId="552073B2" w14:textId="77777777" w:rsidR="00C8733C" w:rsidRPr="003D190C" w:rsidRDefault="00C8733C" w:rsidP="00C8733C">
      <w:pPr>
        <w:pStyle w:val="22uroven"/>
        <w:numPr>
          <w:ilvl w:val="1"/>
          <w:numId w:val="26"/>
        </w:numPr>
        <w:ind w:left="567" w:hanging="567"/>
        <w:rPr>
          <w:rFonts w:cs="Arial"/>
        </w:rPr>
      </w:pPr>
      <w:r w:rsidRPr="003D190C">
        <w:rPr>
          <w:rFonts w:cs="Arial"/>
        </w:rPr>
        <w:t>V případě ukončení smlouvy se smluvní strany zavazují dohodnout se na způsobu vypořádání vzájemných závazků.</w:t>
      </w:r>
    </w:p>
    <w:p w14:paraId="5903555F" w14:textId="77777777" w:rsidR="00C8733C" w:rsidRPr="003D190C" w:rsidRDefault="00C8733C" w:rsidP="00C8733C">
      <w:pPr>
        <w:pStyle w:val="22uroven"/>
        <w:numPr>
          <w:ilvl w:val="1"/>
          <w:numId w:val="26"/>
        </w:numPr>
        <w:ind w:left="567" w:hanging="567"/>
        <w:rPr>
          <w:rFonts w:cs="Arial"/>
        </w:rPr>
      </w:pPr>
      <w:r w:rsidRPr="003D190C">
        <w:rPr>
          <w:rFonts w:cs="Arial"/>
        </w:rPr>
        <w:t xml:space="preserve">V případě nedodržení termínu provedení díla je objednatel oprávněn účtovat zhotoviteli smluvní pokutu ve výši 0,3 % z ceny díla za každý den prodlení. Smluvní pokuta se stává splatnou 7. den po vyzvání k její úhradě. Takto sjednané sankce nemají vliv na případnou povinnost náhrady škody a povinnost plnit řádně předmět smlouvy. Sankce hradí povinná strana nezávisle na tom, zda a v jaké výši vznikne druhé straně v této souvislosti škoda, kterou lze vymáhat samostatně. </w:t>
      </w:r>
    </w:p>
    <w:p w14:paraId="6FEEF1F4" w14:textId="77777777" w:rsidR="00C8733C" w:rsidRPr="003D190C" w:rsidRDefault="00C8733C" w:rsidP="00C8733C">
      <w:pPr>
        <w:pStyle w:val="11uroven"/>
        <w:numPr>
          <w:ilvl w:val="0"/>
          <w:numId w:val="26"/>
        </w:numPr>
        <w:rPr>
          <w:rFonts w:cs="Arial"/>
        </w:rPr>
      </w:pPr>
      <w:r w:rsidRPr="003D190C">
        <w:rPr>
          <w:rFonts w:cs="Arial"/>
        </w:rPr>
        <w:t>Dodatky a změny smlouvy</w:t>
      </w:r>
    </w:p>
    <w:p w14:paraId="3CC512AE" w14:textId="7B5E60A6" w:rsidR="00C8733C" w:rsidRPr="003D190C" w:rsidRDefault="00C8733C" w:rsidP="00C8733C">
      <w:pPr>
        <w:pStyle w:val="22uroven"/>
        <w:numPr>
          <w:ilvl w:val="1"/>
          <w:numId w:val="26"/>
        </w:numPr>
        <w:ind w:left="567" w:hanging="567"/>
        <w:rPr>
          <w:rFonts w:cs="Arial"/>
        </w:rPr>
      </w:pPr>
      <w:r w:rsidRPr="003D190C">
        <w:rPr>
          <w:rFonts w:cs="Arial"/>
        </w:rPr>
        <w:t>Tuto smlouvu lze měnit, doplnit nebo zrušit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1A02C5" w:rsidRPr="003D190C">
        <w:rPr>
          <w:rFonts w:cs="Arial"/>
        </w:rPr>
        <w:t>i</w:t>
      </w:r>
      <w:r w:rsidRPr="003D190C">
        <w:rPr>
          <w:rFonts w:cs="Arial"/>
        </w:rPr>
        <w:t xml:space="preserve"> technickými prostředky. Smluvní strany vylučují přijetí nabídky s dodatkem nebo odchylkou.</w:t>
      </w:r>
    </w:p>
    <w:p w14:paraId="6F6A6C8F" w14:textId="77777777" w:rsidR="00C8733C" w:rsidRPr="003D190C" w:rsidRDefault="00C8733C" w:rsidP="00C8733C">
      <w:pPr>
        <w:pStyle w:val="11uroven"/>
        <w:numPr>
          <w:ilvl w:val="0"/>
          <w:numId w:val="26"/>
        </w:numPr>
        <w:rPr>
          <w:rFonts w:cs="Arial"/>
        </w:rPr>
      </w:pPr>
      <w:r w:rsidRPr="003D190C">
        <w:rPr>
          <w:rFonts w:cs="Arial"/>
        </w:rPr>
        <w:t>Závěrečná ujednání</w:t>
      </w:r>
    </w:p>
    <w:p w14:paraId="60D39180" w14:textId="77777777" w:rsidR="00C8733C" w:rsidRPr="003D190C" w:rsidRDefault="00C8733C" w:rsidP="00C8733C">
      <w:pPr>
        <w:pStyle w:val="22uroven"/>
        <w:numPr>
          <w:ilvl w:val="1"/>
          <w:numId w:val="26"/>
        </w:numPr>
        <w:ind w:left="567" w:hanging="567"/>
        <w:rPr>
          <w:rFonts w:cs="Arial"/>
        </w:rPr>
      </w:pPr>
      <w:r w:rsidRPr="003D190C">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2F81B68A" w14:textId="2393702B" w:rsidR="00C8733C" w:rsidRPr="003D190C" w:rsidRDefault="00C8733C" w:rsidP="00C8733C">
      <w:pPr>
        <w:pStyle w:val="22uroven"/>
        <w:numPr>
          <w:ilvl w:val="1"/>
          <w:numId w:val="26"/>
        </w:numPr>
        <w:ind w:left="567" w:hanging="567"/>
        <w:rPr>
          <w:rFonts w:cs="Arial"/>
        </w:rPr>
      </w:pPr>
      <w:r w:rsidRPr="003D190C">
        <w:rPr>
          <w:rFonts w:cs="Arial"/>
        </w:rPr>
        <w:t>Společnost Brněnské vodárny a kanalizace, a.s. podporuje rovný přístup, spravedlnost, legálnost, slušnost a etické chování ve všech obchodních vztazích v soulad</w:t>
      </w:r>
      <w:r w:rsidR="00D1148F" w:rsidRPr="003D190C">
        <w:rPr>
          <w:rFonts w:cs="Arial"/>
        </w:rPr>
        <w:t>u s Etickou chartou a Etikou ve </w:t>
      </w:r>
      <w:r w:rsidRPr="003D190C">
        <w:rPr>
          <w:rFonts w:cs="Arial"/>
        </w:rPr>
        <w:t xml:space="preserve">vztazích s dodavateli, kterou vydal SUEZ, a která je umístěna na internetových stránkách společnosti www.bvk.cz. Pro oznámení nelegálního a neetického chování je možné použít emailovou adresu: </w:t>
      </w:r>
      <w:hyperlink r:id="rId8" w:history="1">
        <w:r w:rsidRPr="003D190C">
          <w:rPr>
            <w:rStyle w:val="Hypertextovodkaz"/>
            <w:rFonts w:eastAsiaTheme="majorEastAsia" w:cs="Arial"/>
            <w:color w:val="auto"/>
          </w:rPr>
          <w:t>ethics@suez.com</w:t>
        </w:r>
      </w:hyperlink>
      <w:r w:rsidRPr="003D190C">
        <w:rPr>
          <w:rFonts w:cs="Arial"/>
        </w:rPr>
        <w:t>.</w:t>
      </w:r>
    </w:p>
    <w:p w14:paraId="1E449A36" w14:textId="77777777" w:rsidR="00C8733C" w:rsidRPr="003D190C" w:rsidRDefault="00C8733C" w:rsidP="00C8733C">
      <w:pPr>
        <w:pStyle w:val="22uroven"/>
        <w:numPr>
          <w:ilvl w:val="1"/>
          <w:numId w:val="26"/>
        </w:numPr>
        <w:ind w:left="567" w:hanging="567"/>
        <w:rPr>
          <w:rFonts w:cs="Arial"/>
        </w:rPr>
      </w:pPr>
      <w:r w:rsidRPr="003D190C">
        <w:rPr>
          <w:rFonts w:cs="Arial"/>
        </w:rPr>
        <w:t>Zhotovitel bere na vědomí, že společnost Brněnské vodárny a kanalizace, a.s. je povinným subjektem dle zákona č. 106/1999 Sb., o svobodném přístupu k informacím, ve znění pozdějších předpisů.</w:t>
      </w:r>
    </w:p>
    <w:p w14:paraId="48DCC76F" w14:textId="77777777" w:rsidR="00C8733C" w:rsidRPr="003D190C" w:rsidRDefault="00C8733C" w:rsidP="00C8733C">
      <w:pPr>
        <w:pStyle w:val="22uroven"/>
        <w:numPr>
          <w:ilvl w:val="1"/>
          <w:numId w:val="26"/>
        </w:numPr>
        <w:ind w:left="567" w:hanging="567"/>
        <w:rPr>
          <w:rFonts w:cs="Arial"/>
        </w:rPr>
      </w:pPr>
      <w:r w:rsidRPr="003D190C">
        <w:rPr>
          <w:rFonts w:cs="Arial"/>
        </w:rPr>
        <w:t>Smlouva je vyhotovena ve 2 stejnopisech, z nichž 1 obdrží zhotovitel a 1 objednatel.</w:t>
      </w:r>
    </w:p>
    <w:p w14:paraId="58DBC18B" w14:textId="77777777" w:rsidR="00C8733C" w:rsidRPr="003D190C" w:rsidRDefault="00C8733C" w:rsidP="00C8733C">
      <w:pPr>
        <w:pStyle w:val="22uroven"/>
        <w:numPr>
          <w:ilvl w:val="1"/>
          <w:numId w:val="26"/>
        </w:numPr>
        <w:ind w:left="567" w:hanging="567"/>
        <w:rPr>
          <w:rFonts w:cs="Arial"/>
        </w:rPr>
      </w:pPr>
      <w:r w:rsidRPr="003D190C">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19CD1A2" w14:textId="77777777" w:rsidR="00C8733C" w:rsidRPr="003D190C" w:rsidRDefault="00C8733C" w:rsidP="00C8733C">
      <w:pPr>
        <w:pStyle w:val="22uroven"/>
        <w:numPr>
          <w:ilvl w:val="1"/>
          <w:numId w:val="26"/>
        </w:numPr>
        <w:ind w:left="567" w:hanging="567"/>
        <w:rPr>
          <w:rFonts w:cs="Arial"/>
        </w:rPr>
      </w:pPr>
      <w:r w:rsidRPr="003D190C">
        <w:rPr>
          <w:rFonts w:cs="Arial"/>
        </w:rPr>
        <w:t xml:space="preserve">Smluvní strany prohlašují, že údaje uvedené v této smlouvě nejsou informacemi požívajícími ochrany důvěrnosti majetkových poměrů. </w:t>
      </w:r>
    </w:p>
    <w:p w14:paraId="7822E90C" w14:textId="6473FEF3" w:rsidR="00C8733C" w:rsidRPr="003D190C" w:rsidRDefault="00C8733C" w:rsidP="00C8733C">
      <w:pPr>
        <w:pStyle w:val="22uroven"/>
        <w:numPr>
          <w:ilvl w:val="1"/>
          <w:numId w:val="26"/>
        </w:numPr>
        <w:ind w:left="567" w:hanging="567"/>
        <w:rPr>
          <w:rFonts w:cs="Arial"/>
        </w:rPr>
      </w:pPr>
      <w:r w:rsidRPr="003D190C">
        <w:rPr>
          <w:rFonts w:cs="Arial"/>
        </w:rPr>
        <w:lastRenderedPageBreak/>
        <w:t>Zhotovitel dále výslovně uvádí, že skutečnosti uvedené v této smlouvě nepovažuje za obchodní tajemství ve smyslu ustanovení § 504 občanského zákoníku a u</w:t>
      </w:r>
      <w:r w:rsidR="00D1148F" w:rsidRPr="003D190C">
        <w:rPr>
          <w:rFonts w:cs="Arial"/>
        </w:rPr>
        <w:t>děluje svolení k jejich užití a </w:t>
      </w:r>
      <w:r w:rsidR="003D190C" w:rsidRPr="003D190C">
        <w:rPr>
          <w:rFonts w:cs="Arial"/>
        </w:rPr>
        <w:t xml:space="preserve">zveřejnění </w:t>
      </w:r>
      <w:r w:rsidR="00EB09E0" w:rsidRPr="00662049">
        <w:rPr>
          <w:rFonts w:cs="Arial"/>
        </w:rPr>
        <w:t>bez stanovení jakýchkoliv dalších podmínek</w:t>
      </w:r>
      <w:r w:rsidR="003D190C" w:rsidRPr="003D190C">
        <w:rPr>
          <w:rFonts w:cs="Arial"/>
        </w:rPr>
        <w:t>.</w:t>
      </w:r>
    </w:p>
    <w:p w14:paraId="6E537036" w14:textId="589C04D5" w:rsidR="00C8733C" w:rsidRPr="00662049" w:rsidRDefault="00C8733C" w:rsidP="00C8733C">
      <w:pPr>
        <w:pStyle w:val="22uroven"/>
        <w:numPr>
          <w:ilvl w:val="1"/>
          <w:numId w:val="26"/>
        </w:numPr>
        <w:ind w:left="567" w:hanging="567"/>
        <w:rPr>
          <w:rFonts w:cs="Arial"/>
        </w:rPr>
      </w:pPr>
      <w:r w:rsidRPr="003D190C">
        <w:rPr>
          <w:rFonts w:cs="Arial"/>
        </w:rPr>
        <w:t xml:space="preserve">Objednatel výslovně uvádí, že skutečnosti uvedené v této smlouvě nepovažuje za obchodní tajemství ve smyslu ustanovení </w:t>
      </w:r>
      <w:r w:rsidRPr="00662049">
        <w:rPr>
          <w:rFonts w:cs="Arial"/>
        </w:rPr>
        <w:t>§ 504 občanského zákoníku a u</w:t>
      </w:r>
      <w:r w:rsidR="00D1148F" w:rsidRPr="00662049">
        <w:rPr>
          <w:rFonts w:cs="Arial"/>
        </w:rPr>
        <w:t>děluje svolení k jejich užití a </w:t>
      </w:r>
      <w:r w:rsidRPr="00662049">
        <w:rPr>
          <w:rFonts w:cs="Arial"/>
        </w:rPr>
        <w:t xml:space="preserve">zveřejnění bez stanovení jakýchkoliv dalších podmínek. </w:t>
      </w:r>
    </w:p>
    <w:p w14:paraId="1204C0EE" w14:textId="13D813EA" w:rsidR="00C8733C" w:rsidRPr="00662049" w:rsidRDefault="00C8733C" w:rsidP="00C8733C">
      <w:pPr>
        <w:pStyle w:val="22uroven"/>
        <w:numPr>
          <w:ilvl w:val="1"/>
          <w:numId w:val="26"/>
        </w:numPr>
        <w:ind w:left="567" w:hanging="567"/>
        <w:rPr>
          <w:rFonts w:cs="Arial"/>
        </w:rPr>
      </w:pPr>
      <w:r w:rsidRPr="0066204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5B6A20EF" w14:textId="77777777" w:rsidR="00C8733C" w:rsidRPr="00662049" w:rsidRDefault="00C8733C" w:rsidP="00C8733C">
      <w:pPr>
        <w:pStyle w:val="22uroven"/>
        <w:numPr>
          <w:ilvl w:val="0"/>
          <w:numId w:val="0"/>
        </w:numPr>
        <w:spacing w:before="120" w:after="0"/>
        <w:ind w:left="705" w:hanging="705"/>
        <w:rPr>
          <w:rFonts w:cs="Arial"/>
        </w:rPr>
      </w:pPr>
    </w:p>
    <w:p w14:paraId="117E4CB1" w14:textId="77777777" w:rsidR="00C8733C" w:rsidRPr="00662049" w:rsidRDefault="00C8733C" w:rsidP="00C8733C">
      <w:pPr>
        <w:rPr>
          <w:rFonts w:ascii="Arial" w:hAnsi="Arial" w:cs="Arial"/>
          <w:b/>
        </w:rPr>
      </w:pPr>
    </w:p>
    <w:p w14:paraId="3550C9F0" w14:textId="77777777" w:rsidR="00C8733C" w:rsidRPr="00662049" w:rsidRDefault="00C8733C" w:rsidP="00C8733C">
      <w:pPr>
        <w:rPr>
          <w:rFonts w:ascii="Arial" w:hAnsi="Arial" w:cs="Arial"/>
          <w:b/>
        </w:rPr>
      </w:pPr>
    </w:p>
    <w:tbl>
      <w:tblPr>
        <w:tblW w:w="0" w:type="auto"/>
        <w:tblCellMar>
          <w:left w:w="70" w:type="dxa"/>
          <w:right w:w="70" w:type="dxa"/>
        </w:tblCellMar>
        <w:tblLook w:val="04A0" w:firstRow="1" w:lastRow="0" w:firstColumn="1" w:lastColumn="0" w:noHBand="0" w:noVBand="1"/>
      </w:tblPr>
      <w:tblGrid>
        <w:gridCol w:w="1140"/>
        <w:gridCol w:w="1388"/>
        <w:gridCol w:w="1740"/>
        <w:gridCol w:w="540"/>
        <w:gridCol w:w="995"/>
        <w:gridCol w:w="2505"/>
        <w:gridCol w:w="764"/>
      </w:tblGrid>
      <w:tr w:rsidR="00C8733C" w:rsidRPr="00662049" w14:paraId="54808D6D" w14:textId="77777777" w:rsidTr="00C8733C">
        <w:tc>
          <w:tcPr>
            <w:tcW w:w="1140" w:type="dxa"/>
            <w:hideMark/>
          </w:tcPr>
          <w:p w14:paraId="775FD965" w14:textId="77777777" w:rsidR="00C8733C" w:rsidRPr="00662049" w:rsidRDefault="00C8733C">
            <w:pPr>
              <w:rPr>
                <w:rFonts w:ascii="Arial" w:hAnsi="Arial" w:cs="Arial"/>
              </w:rPr>
            </w:pPr>
            <w:r w:rsidRPr="00662049">
              <w:rPr>
                <w:rFonts w:ascii="Arial" w:hAnsi="Arial" w:cs="Arial"/>
              </w:rPr>
              <w:t>V Brně,</w:t>
            </w:r>
          </w:p>
        </w:tc>
        <w:tc>
          <w:tcPr>
            <w:tcW w:w="1388" w:type="dxa"/>
            <w:hideMark/>
          </w:tcPr>
          <w:p w14:paraId="3323F665" w14:textId="77777777" w:rsidR="00C8733C" w:rsidRPr="00662049" w:rsidRDefault="00C8733C">
            <w:pPr>
              <w:rPr>
                <w:rFonts w:ascii="Arial" w:hAnsi="Arial" w:cs="Arial"/>
              </w:rPr>
            </w:pPr>
            <w:r w:rsidRPr="00662049">
              <w:rPr>
                <w:rFonts w:ascii="Arial" w:hAnsi="Arial" w:cs="Arial"/>
              </w:rPr>
              <w:t xml:space="preserve">dne </w:t>
            </w:r>
          </w:p>
        </w:tc>
        <w:tc>
          <w:tcPr>
            <w:tcW w:w="1740" w:type="dxa"/>
          </w:tcPr>
          <w:p w14:paraId="05B06087" w14:textId="77777777" w:rsidR="00C8733C" w:rsidRPr="00662049" w:rsidRDefault="00C8733C">
            <w:pPr>
              <w:rPr>
                <w:rFonts w:ascii="Arial" w:hAnsi="Arial" w:cs="Arial"/>
              </w:rPr>
            </w:pPr>
          </w:p>
        </w:tc>
        <w:tc>
          <w:tcPr>
            <w:tcW w:w="540" w:type="dxa"/>
          </w:tcPr>
          <w:p w14:paraId="5A73DABB" w14:textId="77777777" w:rsidR="00C8733C" w:rsidRPr="00662049" w:rsidRDefault="00C8733C">
            <w:pPr>
              <w:rPr>
                <w:rFonts w:ascii="Arial" w:hAnsi="Arial" w:cs="Arial"/>
              </w:rPr>
            </w:pPr>
          </w:p>
        </w:tc>
        <w:tc>
          <w:tcPr>
            <w:tcW w:w="995" w:type="dxa"/>
            <w:hideMark/>
          </w:tcPr>
          <w:p w14:paraId="299B20E9" w14:textId="77777777" w:rsidR="00C8733C" w:rsidRPr="00662049" w:rsidRDefault="00C8733C">
            <w:pPr>
              <w:rPr>
                <w:rFonts w:ascii="Arial" w:hAnsi="Arial" w:cs="Arial"/>
              </w:rPr>
            </w:pPr>
            <w:r w:rsidRPr="00662049">
              <w:rPr>
                <w:rFonts w:ascii="Arial" w:hAnsi="Arial" w:cs="Arial"/>
              </w:rPr>
              <w:t xml:space="preserve">V Brně, </w:t>
            </w:r>
          </w:p>
        </w:tc>
        <w:tc>
          <w:tcPr>
            <w:tcW w:w="2505" w:type="dxa"/>
            <w:hideMark/>
          </w:tcPr>
          <w:p w14:paraId="3F4A507A" w14:textId="77777777" w:rsidR="00C8733C" w:rsidRPr="00662049" w:rsidRDefault="00C8733C">
            <w:pPr>
              <w:rPr>
                <w:rFonts w:ascii="Arial" w:hAnsi="Arial" w:cs="Arial"/>
              </w:rPr>
            </w:pPr>
            <w:r w:rsidRPr="00662049">
              <w:rPr>
                <w:rFonts w:ascii="Arial" w:hAnsi="Arial" w:cs="Arial"/>
              </w:rPr>
              <w:t>dne</w:t>
            </w:r>
          </w:p>
        </w:tc>
        <w:tc>
          <w:tcPr>
            <w:tcW w:w="764" w:type="dxa"/>
          </w:tcPr>
          <w:p w14:paraId="20FE3D40" w14:textId="77777777" w:rsidR="00C8733C" w:rsidRPr="00662049" w:rsidRDefault="00C8733C">
            <w:pPr>
              <w:rPr>
                <w:rFonts w:ascii="Arial" w:hAnsi="Arial" w:cs="Arial"/>
              </w:rPr>
            </w:pPr>
          </w:p>
        </w:tc>
      </w:tr>
      <w:tr w:rsidR="00C8733C" w:rsidRPr="00662049" w14:paraId="72D68DC3" w14:textId="77777777" w:rsidTr="00C8733C">
        <w:tc>
          <w:tcPr>
            <w:tcW w:w="4268" w:type="dxa"/>
            <w:gridSpan w:val="3"/>
          </w:tcPr>
          <w:p w14:paraId="62BE6BE2" w14:textId="77777777" w:rsidR="00C8733C" w:rsidRPr="00662049" w:rsidRDefault="00C8733C">
            <w:pPr>
              <w:rPr>
                <w:rFonts w:ascii="Arial" w:hAnsi="Arial" w:cs="Arial"/>
              </w:rPr>
            </w:pPr>
            <w:r w:rsidRPr="00662049">
              <w:rPr>
                <w:rFonts w:ascii="Arial" w:hAnsi="Arial" w:cs="Arial"/>
              </w:rPr>
              <w:t>Za zhotovitele</w:t>
            </w:r>
          </w:p>
          <w:p w14:paraId="3E3D9C69" w14:textId="77777777" w:rsidR="00C8733C" w:rsidRPr="00662049" w:rsidRDefault="00C8733C">
            <w:pPr>
              <w:rPr>
                <w:rFonts w:ascii="Arial" w:hAnsi="Arial" w:cs="Arial"/>
              </w:rPr>
            </w:pPr>
          </w:p>
          <w:p w14:paraId="5CA643C8" w14:textId="77777777" w:rsidR="00C8733C" w:rsidRPr="00662049" w:rsidRDefault="00C8733C">
            <w:pPr>
              <w:rPr>
                <w:rFonts w:ascii="Arial" w:hAnsi="Arial" w:cs="Arial"/>
              </w:rPr>
            </w:pPr>
          </w:p>
          <w:p w14:paraId="71832F1D" w14:textId="77777777" w:rsidR="00C8733C" w:rsidRPr="00662049" w:rsidRDefault="00C8733C">
            <w:pPr>
              <w:rPr>
                <w:rFonts w:ascii="Arial" w:hAnsi="Arial" w:cs="Arial"/>
              </w:rPr>
            </w:pPr>
          </w:p>
          <w:p w14:paraId="50B3551C" w14:textId="77777777" w:rsidR="00C8733C" w:rsidRPr="00662049" w:rsidRDefault="00C8733C">
            <w:pPr>
              <w:rPr>
                <w:rFonts w:ascii="Arial" w:hAnsi="Arial" w:cs="Arial"/>
              </w:rPr>
            </w:pPr>
          </w:p>
          <w:p w14:paraId="0AD4EA78" w14:textId="77777777" w:rsidR="00C8733C" w:rsidRPr="00662049" w:rsidRDefault="00C8733C">
            <w:pPr>
              <w:rPr>
                <w:rFonts w:ascii="Arial" w:hAnsi="Arial" w:cs="Arial"/>
              </w:rPr>
            </w:pPr>
          </w:p>
        </w:tc>
        <w:tc>
          <w:tcPr>
            <w:tcW w:w="540" w:type="dxa"/>
          </w:tcPr>
          <w:p w14:paraId="2533A229" w14:textId="77777777" w:rsidR="00C8733C" w:rsidRPr="00662049" w:rsidRDefault="00C8733C">
            <w:pPr>
              <w:rPr>
                <w:rFonts w:ascii="Arial" w:hAnsi="Arial" w:cs="Arial"/>
              </w:rPr>
            </w:pPr>
          </w:p>
        </w:tc>
        <w:tc>
          <w:tcPr>
            <w:tcW w:w="4264" w:type="dxa"/>
            <w:gridSpan w:val="3"/>
            <w:hideMark/>
          </w:tcPr>
          <w:p w14:paraId="48E0CAF2" w14:textId="77777777" w:rsidR="00C8733C" w:rsidRPr="00662049" w:rsidRDefault="00C8733C">
            <w:pPr>
              <w:rPr>
                <w:rFonts w:ascii="Arial" w:hAnsi="Arial" w:cs="Arial"/>
              </w:rPr>
            </w:pPr>
            <w:r w:rsidRPr="00662049">
              <w:rPr>
                <w:rFonts w:ascii="Arial" w:hAnsi="Arial" w:cs="Arial"/>
              </w:rPr>
              <w:t>Za objednatele</w:t>
            </w:r>
          </w:p>
        </w:tc>
      </w:tr>
      <w:tr w:rsidR="00C8733C" w:rsidRPr="00662049" w14:paraId="44A08659" w14:textId="77777777" w:rsidTr="00C8733C">
        <w:tc>
          <w:tcPr>
            <w:tcW w:w="4268" w:type="dxa"/>
            <w:gridSpan w:val="3"/>
            <w:tcBorders>
              <w:top w:val="dashed" w:sz="4" w:space="0" w:color="auto"/>
              <w:left w:val="nil"/>
              <w:bottom w:val="nil"/>
              <w:right w:val="nil"/>
            </w:tcBorders>
            <w:hideMark/>
          </w:tcPr>
          <w:p w14:paraId="22A9AC35" w14:textId="77777777" w:rsidR="00C8733C" w:rsidRPr="00662049" w:rsidRDefault="00B73067">
            <w:pPr>
              <w:pStyle w:val="zarovnannasted"/>
              <w:rPr>
                <w:rFonts w:ascii="Arial" w:hAnsi="Arial" w:cs="Arial"/>
                <w:sz w:val="20"/>
              </w:rPr>
            </w:pPr>
            <w:r w:rsidRPr="00662049">
              <w:rPr>
                <w:rFonts w:ascii="Arial" w:hAnsi="Arial" w:cs="Arial"/>
                <w:sz w:val="20"/>
              </w:rPr>
              <w:t>GESS-CZ, s.r.o.</w:t>
            </w:r>
          </w:p>
          <w:p w14:paraId="095C744A" w14:textId="77777777" w:rsidR="00B73067" w:rsidRPr="00662049" w:rsidRDefault="00B73067">
            <w:pPr>
              <w:pStyle w:val="zarovnannasted"/>
              <w:rPr>
                <w:rFonts w:ascii="Arial" w:hAnsi="Arial" w:cs="Arial"/>
                <w:sz w:val="20"/>
              </w:rPr>
            </w:pPr>
            <w:r w:rsidRPr="00662049">
              <w:rPr>
                <w:rFonts w:ascii="Arial" w:hAnsi="Arial" w:cs="Arial"/>
                <w:sz w:val="20"/>
              </w:rPr>
              <w:t>Michal Pivoda</w:t>
            </w:r>
          </w:p>
          <w:p w14:paraId="2C09689A" w14:textId="29E9A299" w:rsidR="00B73067" w:rsidRPr="00662049" w:rsidRDefault="00B73067">
            <w:pPr>
              <w:pStyle w:val="zarovnannasted"/>
              <w:rPr>
                <w:rFonts w:ascii="Arial" w:hAnsi="Arial" w:cs="Arial"/>
                <w:sz w:val="20"/>
              </w:rPr>
            </w:pPr>
            <w:r w:rsidRPr="00662049">
              <w:rPr>
                <w:rFonts w:ascii="Arial" w:hAnsi="Arial" w:cs="Arial"/>
                <w:sz w:val="20"/>
              </w:rPr>
              <w:t>jednatel</w:t>
            </w:r>
          </w:p>
        </w:tc>
        <w:tc>
          <w:tcPr>
            <w:tcW w:w="540" w:type="dxa"/>
          </w:tcPr>
          <w:p w14:paraId="7FFEB209" w14:textId="77777777" w:rsidR="00C8733C" w:rsidRPr="00662049" w:rsidRDefault="00C8733C">
            <w:pPr>
              <w:rPr>
                <w:rFonts w:ascii="Arial" w:hAnsi="Arial" w:cs="Arial"/>
              </w:rPr>
            </w:pPr>
          </w:p>
        </w:tc>
        <w:tc>
          <w:tcPr>
            <w:tcW w:w="4264" w:type="dxa"/>
            <w:gridSpan w:val="3"/>
            <w:tcBorders>
              <w:top w:val="dashed" w:sz="4" w:space="0" w:color="auto"/>
              <w:left w:val="nil"/>
              <w:bottom w:val="nil"/>
              <w:right w:val="nil"/>
            </w:tcBorders>
            <w:hideMark/>
          </w:tcPr>
          <w:p w14:paraId="6900F828" w14:textId="77777777" w:rsidR="00C8733C" w:rsidRPr="00662049" w:rsidRDefault="00C8733C">
            <w:pPr>
              <w:pStyle w:val="zarovnannasted"/>
              <w:rPr>
                <w:rFonts w:ascii="Arial" w:hAnsi="Arial" w:cs="Arial"/>
                <w:sz w:val="20"/>
              </w:rPr>
            </w:pPr>
            <w:r w:rsidRPr="00662049">
              <w:rPr>
                <w:rFonts w:ascii="Arial" w:hAnsi="Arial" w:cs="Arial"/>
                <w:sz w:val="20"/>
              </w:rPr>
              <w:t>Brněnské vodárny a kanalizace, a.s.</w:t>
            </w:r>
          </w:p>
          <w:p w14:paraId="6FEF2663" w14:textId="5F643567" w:rsidR="00C8733C" w:rsidRPr="00662049" w:rsidRDefault="00B44F89">
            <w:pPr>
              <w:pStyle w:val="zarovnannasted"/>
              <w:rPr>
                <w:rFonts w:ascii="Arial" w:hAnsi="Arial" w:cs="Arial"/>
                <w:sz w:val="20"/>
              </w:rPr>
            </w:pPr>
            <w:r>
              <w:rPr>
                <w:rFonts w:ascii="Arial" w:hAnsi="Arial" w:cs="Arial"/>
                <w:sz w:val="20"/>
              </w:rPr>
              <w:t>XXX</w:t>
            </w:r>
          </w:p>
        </w:tc>
      </w:tr>
    </w:tbl>
    <w:p w14:paraId="5D4ECAD7" w14:textId="77777777" w:rsidR="00C8733C" w:rsidRPr="00662049" w:rsidRDefault="00C8733C" w:rsidP="00C8733C">
      <w:pPr>
        <w:rPr>
          <w:rFonts w:ascii="Arial" w:hAnsi="Arial" w:cs="Arial"/>
        </w:rPr>
      </w:pPr>
    </w:p>
    <w:p w14:paraId="1CC38AE7" w14:textId="77777777" w:rsidR="00B73067" w:rsidRPr="00662049" w:rsidRDefault="00B73067" w:rsidP="00B73067">
      <w:pPr>
        <w:jc w:val="center"/>
        <w:rPr>
          <w:rFonts w:ascii="Arial" w:hAnsi="Arial" w:cs="Arial"/>
          <w:b/>
          <w:sz w:val="24"/>
          <w:szCs w:val="24"/>
        </w:rPr>
      </w:pPr>
    </w:p>
    <w:p w14:paraId="4FB20435" w14:textId="77777777" w:rsidR="00B73067" w:rsidRPr="00662049" w:rsidRDefault="00B73067" w:rsidP="00B73067">
      <w:pPr>
        <w:jc w:val="center"/>
        <w:rPr>
          <w:rFonts w:ascii="Arial" w:hAnsi="Arial" w:cs="Arial"/>
          <w:b/>
          <w:sz w:val="24"/>
          <w:szCs w:val="24"/>
        </w:rPr>
      </w:pPr>
    </w:p>
    <w:p w14:paraId="6175CE12" w14:textId="77777777" w:rsidR="00B73067" w:rsidRPr="00662049" w:rsidRDefault="00B73067" w:rsidP="00B73067">
      <w:pPr>
        <w:jc w:val="center"/>
        <w:rPr>
          <w:rFonts w:ascii="Arial" w:hAnsi="Arial" w:cs="Arial"/>
          <w:b/>
          <w:sz w:val="24"/>
          <w:szCs w:val="24"/>
        </w:rPr>
      </w:pPr>
      <w:bookmarkStart w:id="0" w:name="_GoBack"/>
      <w:bookmarkEnd w:id="0"/>
    </w:p>
    <w:p w14:paraId="36150545" w14:textId="77777777" w:rsidR="00B73067" w:rsidRPr="00662049" w:rsidRDefault="00B73067" w:rsidP="00B73067">
      <w:pPr>
        <w:jc w:val="center"/>
        <w:rPr>
          <w:rFonts w:ascii="Arial" w:hAnsi="Arial" w:cs="Arial"/>
          <w:b/>
          <w:sz w:val="24"/>
          <w:szCs w:val="24"/>
        </w:rPr>
      </w:pPr>
    </w:p>
    <w:p w14:paraId="0E80D5ED" w14:textId="77777777" w:rsidR="00B73067" w:rsidRPr="00662049" w:rsidRDefault="00B73067" w:rsidP="00B73067">
      <w:pPr>
        <w:jc w:val="center"/>
        <w:rPr>
          <w:rFonts w:ascii="Arial" w:hAnsi="Arial" w:cs="Arial"/>
          <w:b/>
          <w:sz w:val="24"/>
          <w:szCs w:val="24"/>
        </w:rPr>
      </w:pPr>
    </w:p>
    <w:p w14:paraId="50EEDC80" w14:textId="77777777" w:rsidR="00B73067" w:rsidRPr="00662049" w:rsidRDefault="00B73067" w:rsidP="00B73067">
      <w:pPr>
        <w:jc w:val="center"/>
        <w:rPr>
          <w:rFonts w:ascii="Arial" w:hAnsi="Arial" w:cs="Arial"/>
          <w:b/>
          <w:sz w:val="24"/>
          <w:szCs w:val="24"/>
        </w:rPr>
      </w:pPr>
    </w:p>
    <w:p w14:paraId="4A9E6682" w14:textId="77777777" w:rsidR="00B73067" w:rsidRPr="00662049" w:rsidRDefault="00B73067" w:rsidP="00B73067">
      <w:pPr>
        <w:jc w:val="center"/>
        <w:rPr>
          <w:rFonts w:ascii="Arial" w:hAnsi="Arial" w:cs="Arial"/>
          <w:b/>
          <w:sz w:val="24"/>
          <w:szCs w:val="24"/>
        </w:rPr>
      </w:pPr>
    </w:p>
    <w:p w14:paraId="17DF2BB7" w14:textId="77777777" w:rsidR="00B73067" w:rsidRPr="00662049" w:rsidRDefault="00B73067" w:rsidP="00B73067">
      <w:pPr>
        <w:jc w:val="center"/>
        <w:rPr>
          <w:rFonts w:ascii="Arial" w:hAnsi="Arial" w:cs="Arial"/>
          <w:b/>
          <w:sz w:val="24"/>
          <w:szCs w:val="24"/>
        </w:rPr>
      </w:pPr>
    </w:p>
    <w:p w14:paraId="7EFD5616" w14:textId="77777777" w:rsidR="00B73067" w:rsidRDefault="00B73067" w:rsidP="00B73067">
      <w:pPr>
        <w:jc w:val="center"/>
        <w:rPr>
          <w:rFonts w:asciiTheme="majorHAnsi" w:hAnsiTheme="majorHAnsi" w:cstheme="majorHAnsi"/>
          <w:b/>
          <w:sz w:val="24"/>
          <w:szCs w:val="24"/>
        </w:rPr>
      </w:pPr>
    </w:p>
    <w:p w14:paraId="331B7CF5" w14:textId="77777777" w:rsidR="00B73067" w:rsidRDefault="00B73067" w:rsidP="00B73067">
      <w:pPr>
        <w:jc w:val="center"/>
        <w:rPr>
          <w:rFonts w:asciiTheme="majorHAnsi" w:hAnsiTheme="majorHAnsi" w:cstheme="majorHAnsi"/>
          <w:b/>
          <w:sz w:val="24"/>
          <w:szCs w:val="24"/>
        </w:rPr>
      </w:pPr>
    </w:p>
    <w:p w14:paraId="0403368D" w14:textId="77777777" w:rsidR="00B73067" w:rsidRDefault="00B73067" w:rsidP="00B73067">
      <w:pPr>
        <w:jc w:val="center"/>
        <w:rPr>
          <w:rFonts w:asciiTheme="majorHAnsi" w:hAnsiTheme="majorHAnsi" w:cstheme="majorHAnsi"/>
          <w:b/>
          <w:sz w:val="24"/>
          <w:szCs w:val="24"/>
        </w:rPr>
      </w:pPr>
    </w:p>
    <w:p w14:paraId="3E22DC85" w14:textId="77777777" w:rsidR="00B73067" w:rsidRDefault="00B73067" w:rsidP="00B73067">
      <w:pPr>
        <w:jc w:val="center"/>
        <w:rPr>
          <w:rFonts w:asciiTheme="majorHAnsi" w:hAnsiTheme="majorHAnsi" w:cstheme="majorHAnsi"/>
          <w:b/>
          <w:sz w:val="24"/>
          <w:szCs w:val="24"/>
        </w:rPr>
      </w:pPr>
    </w:p>
    <w:p w14:paraId="4E12DB2D" w14:textId="77777777" w:rsidR="00B73067" w:rsidRDefault="00B73067" w:rsidP="00B73067">
      <w:pPr>
        <w:jc w:val="center"/>
        <w:rPr>
          <w:rFonts w:asciiTheme="majorHAnsi" w:hAnsiTheme="majorHAnsi" w:cstheme="majorHAnsi"/>
          <w:b/>
          <w:sz w:val="24"/>
          <w:szCs w:val="24"/>
        </w:rPr>
      </w:pPr>
    </w:p>
    <w:p w14:paraId="2B4A0979" w14:textId="77777777" w:rsidR="00B73067" w:rsidRDefault="00B73067" w:rsidP="00B73067">
      <w:pPr>
        <w:jc w:val="center"/>
        <w:rPr>
          <w:rFonts w:asciiTheme="majorHAnsi" w:hAnsiTheme="majorHAnsi" w:cstheme="majorHAnsi"/>
          <w:b/>
          <w:sz w:val="24"/>
          <w:szCs w:val="24"/>
        </w:rPr>
      </w:pPr>
    </w:p>
    <w:p w14:paraId="7F288747" w14:textId="77777777" w:rsidR="00B73067" w:rsidRDefault="00B73067" w:rsidP="00B73067">
      <w:pPr>
        <w:jc w:val="center"/>
        <w:rPr>
          <w:rFonts w:asciiTheme="majorHAnsi" w:hAnsiTheme="majorHAnsi" w:cstheme="majorHAnsi"/>
          <w:b/>
          <w:sz w:val="24"/>
          <w:szCs w:val="24"/>
        </w:rPr>
      </w:pPr>
    </w:p>
    <w:p w14:paraId="00F653C2" w14:textId="77777777" w:rsidR="00B73067" w:rsidRDefault="00B73067" w:rsidP="00B73067">
      <w:pPr>
        <w:jc w:val="center"/>
        <w:rPr>
          <w:rFonts w:asciiTheme="majorHAnsi" w:hAnsiTheme="majorHAnsi" w:cstheme="majorHAnsi"/>
          <w:b/>
          <w:sz w:val="24"/>
          <w:szCs w:val="24"/>
        </w:rPr>
      </w:pPr>
    </w:p>
    <w:p w14:paraId="7494D047" w14:textId="77777777" w:rsidR="00B73067" w:rsidRDefault="00B73067" w:rsidP="00B73067">
      <w:pPr>
        <w:jc w:val="center"/>
        <w:rPr>
          <w:rFonts w:asciiTheme="majorHAnsi" w:hAnsiTheme="majorHAnsi" w:cstheme="majorHAnsi"/>
          <w:b/>
          <w:sz w:val="24"/>
          <w:szCs w:val="24"/>
        </w:rPr>
      </w:pPr>
    </w:p>
    <w:p w14:paraId="71E4B595" w14:textId="77777777" w:rsidR="00B73067" w:rsidRDefault="00B73067" w:rsidP="00B73067">
      <w:pPr>
        <w:jc w:val="center"/>
        <w:rPr>
          <w:rFonts w:asciiTheme="majorHAnsi" w:hAnsiTheme="majorHAnsi" w:cstheme="majorHAnsi"/>
          <w:b/>
          <w:sz w:val="24"/>
          <w:szCs w:val="24"/>
        </w:rPr>
      </w:pPr>
    </w:p>
    <w:p w14:paraId="22592BA7" w14:textId="77777777" w:rsidR="00B73067" w:rsidRDefault="00B73067" w:rsidP="00B73067">
      <w:pPr>
        <w:jc w:val="center"/>
        <w:rPr>
          <w:rFonts w:asciiTheme="majorHAnsi" w:hAnsiTheme="majorHAnsi" w:cstheme="majorHAnsi"/>
          <w:b/>
          <w:sz w:val="24"/>
          <w:szCs w:val="24"/>
        </w:rPr>
      </w:pPr>
    </w:p>
    <w:p w14:paraId="1210005F" w14:textId="77777777" w:rsidR="00B73067" w:rsidRDefault="00B73067" w:rsidP="00B73067">
      <w:pPr>
        <w:jc w:val="center"/>
        <w:rPr>
          <w:rFonts w:asciiTheme="majorHAnsi" w:hAnsiTheme="majorHAnsi" w:cstheme="majorHAnsi"/>
          <w:b/>
          <w:sz w:val="24"/>
          <w:szCs w:val="24"/>
        </w:rPr>
      </w:pPr>
    </w:p>
    <w:p w14:paraId="7D9D7A51" w14:textId="77777777" w:rsidR="00B73067" w:rsidRDefault="00B73067" w:rsidP="00B73067">
      <w:pPr>
        <w:jc w:val="center"/>
        <w:rPr>
          <w:rFonts w:asciiTheme="majorHAnsi" w:hAnsiTheme="majorHAnsi" w:cstheme="majorHAnsi"/>
          <w:b/>
          <w:sz w:val="24"/>
          <w:szCs w:val="24"/>
        </w:rPr>
      </w:pPr>
    </w:p>
    <w:p w14:paraId="71F85C13" w14:textId="77777777" w:rsidR="00B73067" w:rsidRDefault="00B73067" w:rsidP="00B73067">
      <w:pPr>
        <w:jc w:val="center"/>
        <w:rPr>
          <w:rFonts w:asciiTheme="majorHAnsi" w:hAnsiTheme="majorHAnsi" w:cstheme="majorHAnsi"/>
          <w:b/>
          <w:sz w:val="24"/>
          <w:szCs w:val="24"/>
        </w:rPr>
      </w:pPr>
    </w:p>
    <w:p w14:paraId="4905C5D6" w14:textId="77777777" w:rsidR="00B73067" w:rsidRDefault="00B73067" w:rsidP="00B73067">
      <w:pPr>
        <w:jc w:val="center"/>
        <w:rPr>
          <w:rFonts w:asciiTheme="majorHAnsi" w:hAnsiTheme="majorHAnsi" w:cstheme="majorHAnsi"/>
          <w:b/>
          <w:sz w:val="24"/>
          <w:szCs w:val="24"/>
        </w:rPr>
      </w:pPr>
    </w:p>
    <w:p w14:paraId="1389D088" w14:textId="77777777" w:rsidR="00B73067" w:rsidRDefault="00B73067" w:rsidP="00B73067">
      <w:pPr>
        <w:jc w:val="center"/>
        <w:rPr>
          <w:rFonts w:asciiTheme="majorHAnsi" w:hAnsiTheme="majorHAnsi" w:cstheme="majorHAnsi"/>
          <w:b/>
          <w:sz w:val="24"/>
          <w:szCs w:val="24"/>
        </w:rPr>
      </w:pPr>
    </w:p>
    <w:p w14:paraId="5E81DF9C" w14:textId="77777777" w:rsidR="00B73067" w:rsidRDefault="00B73067" w:rsidP="00B73067">
      <w:pPr>
        <w:jc w:val="center"/>
        <w:rPr>
          <w:rFonts w:asciiTheme="majorHAnsi" w:hAnsiTheme="majorHAnsi" w:cstheme="majorHAnsi"/>
          <w:b/>
          <w:sz w:val="24"/>
          <w:szCs w:val="24"/>
        </w:rPr>
      </w:pPr>
    </w:p>
    <w:p w14:paraId="45185FBE" w14:textId="77777777" w:rsidR="00B73067" w:rsidRDefault="00B73067" w:rsidP="00B73067">
      <w:pPr>
        <w:jc w:val="center"/>
        <w:rPr>
          <w:rFonts w:asciiTheme="majorHAnsi" w:hAnsiTheme="majorHAnsi" w:cstheme="majorHAnsi"/>
          <w:b/>
          <w:sz w:val="24"/>
          <w:szCs w:val="24"/>
        </w:rPr>
      </w:pPr>
    </w:p>
    <w:p w14:paraId="48C6B1C7" w14:textId="77777777" w:rsidR="00B73067" w:rsidRDefault="00B73067" w:rsidP="00B73067">
      <w:pPr>
        <w:jc w:val="center"/>
        <w:rPr>
          <w:rFonts w:asciiTheme="majorHAnsi" w:hAnsiTheme="majorHAnsi" w:cstheme="majorHAnsi"/>
          <w:b/>
          <w:sz w:val="24"/>
          <w:szCs w:val="24"/>
        </w:rPr>
      </w:pPr>
    </w:p>
    <w:p w14:paraId="07D08D7A" w14:textId="77777777" w:rsidR="00B73067" w:rsidRDefault="00B73067" w:rsidP="00B73067">
      <w:pPr>
        <w:jc w:val="center"/>
        <w:rPr>
          <w:rFonts w:asciiTheme="majorHAnsi" w:hAnsiTheme="majorHAnsi" w:cstheme="majorHAnsi"/>
          <w:b/>
          <w:sz w:val="24"/>
          <w:szCs w:val="24"/>
        </w:rPr>
      </w:pPr>
    </w:p>
    <w:p w14:paraId="56AE41B5" w14:textId="77777777" w:rsidR="00B73067" w:rsidRDefault="00B73067" w:rsidP="00B73067">
      <w:pPr>
        <w:jc w:val="center"/>
        <w:rPr>
          <w:rFonts w:asciiTheme="majorHAnsi" w:hAnsiTheme="majorHAnsi" w:cstheme="majorHAnsi"/>
          <w:b/>
          <w:sz w:val="24"/>
          <w:szCs w:val="24"/>
        </w:rPr>
      </w:pPr>
    </w:p>
    <w:sectPr w:rsidR="00B73067" w:rsidSect="006C0E7B">
      <w:headerReference w:type="even" r:id="rId9"/>
      <w:headerReference w:type="default" r:id="rId10"/>
      <w:footerReference w:type="default" r:id="rId11"/>
      <w:headerReference w:type="first" r:id="rId12"/>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71C30" w14:textId="77777777" w:rsidR="00B711F2" w:rsidRDefault="00B711F2" w:rsidP="00C3612E">
      <w:r>
        <w:separator/>
      </w:r>
    </w:p>
  </w:endnote>
  <w:endnote w:type="continuationSeparator" w:id="0">
    <w:p w14:paraId="1DFB524B" w14:textId="77777777" w:rsidR="00B711F2" w:rsidRDefault="00B711F2"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17032F6A" w:rsidR="00AF49BB" w:rsidRDefault="00AF49BB">
    <w:pPr>
      <w:pStyle w:val="Zpat"/>
      <w:jc w:val="center"/>
    </w:pPr>
    <w:r>
      <w:fldChar w:fldCharType="begin"/>
    </w:r>
    <w:r>
      <w:instrText>PAGE    \* MERGEFORMAT</w:instrText>
    </w:r>
    <w:r>
      <w:fldChar w:fldCharType="separate"/>
    </w:r>
    <w:r w:rsidR="00B44F89">
      <w:rPr>
        <w:noProof/>
      </w:rPr>
      <w:t>6</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0C88C" w14:textId="77777777" w:rsidR="00B711F2" w:rsidRDefault="00B711F2" w:rsidP="00C3612E">
      <w:r>
        <w:separator/>
      </w:r>
    </w:p>
  </w:footnote>
  <w:footnote w:type="continuationSeparator" w:id="0">
    <w:p w14:paraId="76E9DF4F" w14:textId="77777777" w:rsidR="00B711F2" w:rsidRDefault="00B711F2"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B711F2">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B711F2">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B711F2">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6"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8"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9"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2"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7"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8"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19"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0"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1"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5"/>
  </w:num>
  <w:num w:numId="2">
    <w:abstractNumId w:val="10"/>
  </w:num>
  <w:num w:numId="3">
    <w:abstractNumId w:val="17"/>
  </w:num>
  <w:num w:numId="4">
    <w:abstractNumId w:val="12"/>
  </w:num>
  <w:num w:numId="5">
    <w:abstractNumId w:val="0"/>
  </w:num>
  <w:num w:numId="6">
    <w:abstractNumId w:val="2"/>
  </w:num>
  <w:num w:numId="7">
    <w:abstractNumId w:val="3"/>
  </w:num>
  <w:num w:numId="8">
    <w:abstractNumId w:val="9"/>
  </w:num>
  <w:num w:numId="9">
    <w:abstractNumId w:val="11"/>
  </w:num>
  <w:num w:numId="10">
    <w:abstractNumId w:val="13"/>
  </w:num>
  <w:num w:numId="11">
    <w:abstractNumId w:val="19"/>
  </w:num>
  <w:num w:numId="12">
    <w:abstractNumId w:val="7"/>
  </w:num>
  <w:num w:numId="13">
    <w:abstractNumId w:val="14"/>
  </w:num>
  <w:num w:numId="14">
    <w:abstractNumId w:val="15"/>
  </w:num>
  <w:num w:numId="15">
    <w:abstractNumId w:val="15"/>
  </w:num>
  <w:num w:numId="16">
    <w:abstractNumId w:val="5"/>
  </w:num>
  <w:num w:numId="17">
    <w:abstractNumId w:val="16"/>
  </w:num>
  <w:num w:numId="18">
    <w:abstractNumId w:val="5"/>
    <w:lvlOverride w:ilvl="0">
      <w:startOverride w:val="1"/>
    </w:lvlOverride>
  </w:num>
  <w:num w:numId="19">
    <w:abstractNumId w:val="21"/>
  </w:num>
  <w:num w:numId="20">
    <w:abstractNumId w:val="18"/>
  </w:num>
  <w:num w:numId="21">
    <w:abstractNumId w:val="6"/>
  </w:num>
  <w:num w:numId="22">
    <w:abstractNumId w:val="8"/>
  </w:num>
  <w:num w:numId="23">
    <w:abstractNumId w:val="1"/>
  </w:num>
  <w:num w:numId="24">
    <w:abstractNumId w:val="20"/>
  </w:num>
  <w:num w:numId="25">
    <w:abstractNumId w:val="4"/>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1"/>
    <w:lvlOverride w:ilvl="0">
      <w:startOverride w:val="1"/>
    </w:lvlOverride>
    <w:lvlOverride w:ilvl="1"/>
    <w:lvlOverride w:ilvl="2"/>
    <w:lvlOverride w:ilvl="3"/>
    <w:lvlOverride w:ilvl="4"/>
    <w:lvlOverride w:ilvl="5"/>
    <w:lvlOverride w:ilvl="6"/>
    <w:lvlOverride w:ilvl="7"/>
    <w:lvlOverride w:ilvl="8"/>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11858"/>
    <w:rsid w:val="00024928"/>
    <w:rsid w:val="00031372"/>
    <w:rsid w:val="00033200"/>
    <w:rsid w:val="00047CFE"/>
    <w:rsid w:val="0005292A"/>
    <w:rsid w:val="00052EB3"/>
    <w:rsid w:val="00066042"/>
    <w:rsid w:val="00066EB5"/>
    <w:rsid w:val="00075061"/>
    <w:rsid w:val="00075582"/>
    <w:rsid w:val="00077AA9"/>
    <w:rsid w:val="00085363"/>
    <w:rsid w:val="00086D87"/>
    <w:rsid w:val="00093600"/>
    <w:rsid w:val="000A4748"/>
    <w:rsid w:val="000B0E91"/>
    <w:rsid w:val="000B3B2F"/>
    <w:rsid w:val="000C0F2D"/>
    <w:rsid w:val="000C3A4A"/>
    <w:rsid w:val="000D6641"/>
    <w:rsid w:val="000E2E5C"/>
    <w:rsid w:val="000E375C"/>
    <w:rsid w:val="000E5E39"/>
    <w:rsid w:val="000F2D51"/>
    <w:rsid w:val="000F33EA"/>
    <w:rsid w:val="000F5EA2"/>
    <w:rsid w:val="00102190"/>
    <w:rsid w:val="00105000"/>
    <w:rsid w:val="00131466"/>
    <w:rsid w:val="00131470"/>
    <w:rsid w:val="00133A2E"/>
    <w:rsid w:val="001433B3"/>
    <w:rsid w:val="00163059"/>
    <w:rsid w:val="00164BDB"/>
    <w:rsid w:val="00173D07"/>
    <w:rsid w:val="00174082"/>
    <w:rsid w:val="00176E41"/>
    <w:rsid w:val="00180E81"/>
    <w:rsid w:val="001814C2"/>
    <w:rsid w:val="001843E3"/>
    <w:rsid w:val="001854C8"/>
    <w:rsid w:val="0019266F"/>
    <w:rsid w:val="001972EB"/>
    <w:rsid w:val="001A02C5"/>
    <w:rsid w:val="001A2E3B"/>
    <w:rsid w:val="001A2F50"/>
    <w:rsid w:val="001B7705"/>
    <w:rsid w:val="001C3CF2"/>
    <w:rsid w:val="001D353F"/>
    <w:rsid w:val="001D48CE"/>
    <w:rsid w:val="001E042F"/>
    <w:rsid w:val="001E3DD1"/>
    <w:rsid w:val="001E51EF"/>
    <w:rsid w:val="001F6051"/>
    <w:rsid w:val="002031B1"/>
    <w:rsid w:val="00203978"/>
    <w:rsid w:val="00226110"/>
    <w:rsid w:val="0022663A"/>
    <w:rsid w:val="00230491"/>
    <w:rsid w:val="00234F3F"/>
    <w:rsid w:val="002373AA"/>
    <w:rsid w:val="00241CBE"/>
    <w:rsid w:val="00252177"/>
    <w:rsid w:val="00257A5F"/>
    <w:rsid w:val="00262E52"/>
    <w:rsid w:val="00263502"/>
    <w:rsid w:val="00280238"/>
    <w:rsid w:val="00292E7E"/>
    <w:rsid w:val="002936FE"/>
    <w:rsid w:val="002963ED"/>
    <w:rsid w:val="002A2DF3"/>
    <w:rsid w:val="002B41F9"/>
    <w:rsid w:val="002C0383"/>
    <w:rsid w:val="002C36A8"/>
    <w:rsid w:val="002E3E4A"/>
    <w:rsid w:val="002E727C"/>
    <w:rsid w:val="002F1408"/>
    <w:rsid w:val="002F5C95"/>
    <w:rsid w:val="0031012E"/>
    <w:rsid w:val="0031614E"/>
    <w:rsid w:val="003208A7"/>
    <w:rsid w:val="00326E74"/>
    <w:rsid w:val="00333BF6"/>
    <w:rsid w:val="00342143"/>
    <w:rsid w:val="0035055A"/>
    <w:rsid w:val="00352435"/>
    <w:rsid w:val="00357D85"/>
    <w:rsid w:val="00361C86"/>
    <w:rsid w:val="00362B2D"/>
    <w:rsid w:val="0036400A"/>
    <w:rsid w:val="003674AD"/>
    <w:rsid w:val="003704A6"/>
    <w:rsid w:val="00384287"/>
    <w:rsid w:val="00390AB5"/>
    <w:rsid w:val="00393134"/>
    <w:rsid w:val="00393A56"/>
    <w:rsid w:val="003A7E3F"/>
    <w:rsid w:val="003B2092"/>
    <w:rsid w:val="003B32FA"/>
    <w:rsid w:val="003B5B00"/>
    <w:rsid w:val="003B6864"/>
    <w:rsid w:val="003C2ECF"/>
    <w:rsid w:val="003C5FD0"/>
    <w:rsid w:val="003D18AD"/>
    <w:rsid w:val="003D190C"/>
    <w:rsid w:val="003D582A"/>
    <w:rsid w:val="003D58BD"/>
    <w:rsid w:val="003D70CB"/>
    <w:rsid w:val="00411D92"/>
    <w:rsid w:val="00413A95"/>
    <w:rsid w:val="00415991"/>
    <w:rsid w:val="00420863"/>
    <w:rsid w:val="00422B92"/>
    <w:rsid w:val="0045340B"/>
    <w:rsid w:val="00454BA0"/>
    <w:rsid w:val="0046177A"/>
    <w:rsid w:val="004707DD"/>
    <w:rsid w:val="00473804"/>
    <w:rsid w:val="00477F0A"/>
    <w:rsid w:val="00487924"/>
    <w:rsid w:val="00494690"/>
    <w:rsid w:val="004A0379"/>
    <w:rsid w:val="004A150D"/>
    <w:rsid w:val="004A2DA4"/>
    <w:rsid w:val="004A37D5"/>
    <w:rsid w:val="004A66B3"/>
    <w:rsid w:val="004C6167"/>
    <w:rsid w:val="004C6BFD"/>
    <w:rsid w:val="004C7D31"/>
    <w:rsid w:val="004D11E8"/>
    <w:rsid w:val="004D43B9"/>
    <w:rsid w:val="004D4574"/>
    <w:rsid w:val="004D647B"/>
    <w:rsid w:val="004E2B9A"/>
    <w:rsid w:val="004E60EE"/>
    <w:rsid w:val="004F0DBA"/>
    <w:rsid w:val="00506B29"/>
    <w:rsid w:val="0051196B"/>
    <w:rsid w:val="00522D28"/>
    <w:rsid w:val="00536876"/>
    <w:rsid w:val="005575FE"/>
    <w:rsid w:val="005705B9"/>
    <w:rsid w:val="005750A3"/>
    <w:rsid w:val="00585CB9"/>
    <w:rsid w:val="00586095"/>
    <w:rsid w:val="0059065C"/>
    <w:rsid w:val="00591B0A"/>
    <w:rsid w:val="005B4B39"/>
    <w:rsid w:val="005B7BCD"/>
    <w:rsid w:val="005C7923"/>
    <w:rsid w:val="005D6DD2"/>
    <w:rsid w:val="005E0313"/>
    <w:rsid w:val="005E0798"/>
    <w:rsid w:val="005E4E36"/>
    <w:rsid w:val="005F4C58"/>
    <w:rsid w:val="005F656D"/>
    <w:rsid w:val="00604105"/>
    <w:rsid w:val="00606A30"/>
    <w:rsid w:val="00611448"/>
    <w:rsid w:val="00615078"/>
    <w:rsid w:val="00625E96"/>
    <w:rsid w:val="0064250D"/>
    <w:rsid w:val="0064783B"/>
    <w:rsid w:val="00662049"/>
    <w:rsid w:val="00672974"/>
    <w:rsid w:val="0068125B"/>
    <w:rsid w:val="006824AD"/>
    <w:rsid w:val="006856B5"/>
    <w:rsid w:val="006902CB"/>
    <w:rsid w:val="00691A41"/>
    <w:rsid w:val="00691D0C"/>
    <w:rsid w:val="006A7E86"/>
    <w:rsid w:val="006B2F57"/>
    <w:rsid w:val="006C0C40"/>
    <w:rsid w:val="006C0E7B"/>
    <w:rsid w:val="006C4E53"/>
    <w:rsid w:val="006C5016"/>
    <w:rsid w:val="006E15C2"/>
    <w:rsid w:val="006E381B"/>
    <w:rsid w:val="007046F0"/>
    <w:rsid w:val="00712844"/>
    <w:rsid w:val="00713334"/>
    <w:rsid w:val="00713956"/>
    <w:rsid w:val="0072217F"/>
    <w:rsid w:val="007307DF"/>
    <w:rsid w:val="00735F0A"/>
    <w:rsid w:val="00736CA9"/>
    <w:rsid w:val="0074073E"/>
    <w:rsid w:val="00747DED"/>
    <w:rsid w:val="00760DF5"/>
    <w:rsid w:val="00771682"/>
    <w:rsid w:val="007727FD"/>
    <w:rsid w:val="00791058"/>
    <w:rsid w:val="007911E7"/>
    <w:rsid w:val="0079478B"/>
    <w:rsid w:val="007A5CD4"/>
    <w:rsid w:val="007B1164"/>
    <w:rsid w:val="007C5F91"/>
    <w:rsid w:val="007D38DC"/>
    <w:rsid w:val="007E7A71"/>
    <w:rsid w:val="007E7D76"/>
    <w:rsid w:val="007F019A"/>
    <w:rsid w:val="007F07F7"/>
    <w:rsid w:val="007F5ED7"/>
    <w:rsid w:val="00811868"/>
    <w:rsid w:val="0081717D"/>
    <w:rsid w:val="008200F4"/>
    <w:rsid w:val="00825A4A"/>
    <w:rsid w:val="00854FFC"/>
    <w:rsid w:val="00863330"/>
    <w:rsid w:val="00864AED"/>
    <w:rsid w:val="00866CC1"/>
    <w:rsid w:val="0087084F"/>
    <w:rsid w:val="0087348E"/>
    <w:rsid w:val="00874D73"/>
    <w:rsid w:val="00896057"/>
    <w:rsid w:val="008B14D9"/>
    <w:rsid w:val="008B5AFC"/>
    <w:rsid w:val="008B7AAC"/>
    <w:rsid w:val="008C2004"/>
    <w:rsid w:val="008C37FC"/>
    <w:rsid w:val="008D6D3E"/>
    <w:rsid w:val="008E7FED"/>
    <w:rsid w:val="008F1105"/>
    <w:rsid w:val="00902703"/>
    <w:rsid w:val="00921D16"/>
    <w:rsid w:val="009225C9"/>
    <w:rsid w:val="0093315E"/>
    <w:rsid w:val="00941142"/>
    <w:rsid w:val="00945963"/>
    <w:rsid w:val="00945C71"/>
    <w:rsid w:val="00946224"/>
    <w:rsid w:val="00952B23"/>
    <w:rsid w:val="0096573C"/>
    <w:rsid w:val="009717F2"/>
    <w:rsid w:val="009722F3"/>
    <w:rsid w:val="0098722E"/>
    <w:rsid w:val="00987CDE"/>
    <w:rsid w:val="00990938"/>
    <w:rsid w:val="009928A6"/>
    <w:rsid w:val="009A43DC"/>
    <w:rsid w:val="009C1AC7"/>
    <w:rsid w:val="009C4245"/>
    <w:rsid w:val="009C74B6"/>
    <w:rsid w:val="009D2B7C"/>
    <w:rsid w:val="009E40E6"/>
    <w:rsid w:val="009E6B09"/>
    <w:rsid w:val="009F1516"/>
    <w:rsid w:val="009F45BF"/>
    <w:rsid w:val="00A03F7D"/>
    <w:rsid w:val="00A04DF0"/>
    <w:rsid w:val="00A0695C"/>
    <w:rsid w:val="00A132B5"/>
    <w:rsid w:val="00A163A5"/>
    <w:rsid w:val="00A1658D"/>
    <w:rsid w:val="00A2587E"/>
    <w:rsid w:val="00A3115F"/>
    <w:rsid w:val="00A51C5B"/>
    <w:rsid w:val="00A71C83"/>
    <w:rsid w:val="00A732CB"/>
    <w:rsid w:val="00A7740F"/>
    <w:rsid w:val="00A82565"/>
    <w:rsid w:val="00A82E6D"/>
    <w:rsid w:val="00A932DB"/>
    <w:rsid w:val="00AB30CC"/>
    <w:rsid w:val="00AB5411"/>
    <w:rsid w:val="00AB6B3C"/>
    <w:rsid w:val="00AC0173"/>
    <w:rsid w:val="00AC6CAB"/>
    <w:rsid w:val="00AE4D28"/>
    <w:rsid w:val="00AF3490"/>
    <w:rsid w:val="00AF385F"/>
    <w:rsid w:val="00AF49BB"/>
    <w:rsid w:val="00AF6763"/>
    <w:rsid w:val="00B0074E"/>
    <w:rsid w:val="00B02AD6"/>
    <w:rsid w:val="00B052FE"/>
    <w:rsid w:val="00B14830"/>
    <w:rsid w:val="00B15DE8"/>
    <w:rsid w:val="00B23411"/>
    <w:rsid w:val="00B2594A"/>
    <w:rsid w:val="00B25BE7"/>
    <w:rsid w:val="00B44F89"/>
    <w:rsid w:val="00B53019"/>
    <w:rsid w:val="00B62B7D"/>
    <w:rsid w:val="00B65E99"/>
    <w:rsid w:val="00B711F2"/>
    <w:rsid w:val="00B73067"/>
    <w:rsid w:val="00B8698D"/>
    <w:rsid w:val="00B9110D"/>
    <w:rsid w:val="00B91C60"/>
    <w:rsid w:val="00B92DE0"/>
    <w:rsid w:val="00BA23C4"/>
    <w:rsid w:val="00BA28EB"/>
    <w:rsid w:val="00BA291A"/>
    <w:rsid w:val="00BA5847"/>
    <w:rsid w:val="00BA6065"/>
    <w:rsid w:val="00BB0002"/>
    <w:rsid w:val="00BB084B"/>
    <w:rsid w:val="00BB0F45"/>
    <w:rsid w:val="00BB11C8"/>
    <w:rsid w:val="00BC4001"/>
    <w:rsid w:val="00BC6DC4"/>
    <w:rsid w:val="00BD2097"/>
    <w:rsid w:val="00BE1852"/>
    <w:rsid w:val="00BE371F"/>
    <w:rsid w:val="00BF30F7"/>
    <w:rsid w:val="00BF746D"/>
    <w:rsid w:val="00C02B91"/>
    <w:rsid w:val="00C04D45"/>
    <w:rsid w:val="00C218F6"/>
    <w:rsid w:val="00C30DF7"/>
    <w:rsid w:val="00C32D8D"/>
    <w:rsid w:val="00C34A3E"/>
    <w:rsid w:val="00C3612E"/>
    <w:rsid w:val="00C4410B"/>
    <w:rsid w:val="00C44F3F"/>
    <w:rsid w:val="00C71884"/>
    <w:rsid w:val="00C73B84"/>
    <w:rsid w:val="00C77462"/>
    <w:rsid w:val="00C8733C"/>
    <w:rsid w:val="00C92D2A"/>
    <w:rsid w:val="00CA3518"/>
    <w:rsid w:val="00CA6E14"/>
    <w:rsid w:val="00CB0FE9"/>
    <w:rsid w:val="00CB205E"/>
    <w:rsid w:val="00CB722F"/>
    <w:rsid w:val="00CC0ECB"/>
    <w:rsid w:val="00CD2584"/>
    <w:rsid w:val="00CD748B"/>
    <w:rsid w:val="00D068E3"/>
    <w:rsid w:val="00D06B98"/>
    <w:rsid w:val="00D06CB1"/>
    <w:rsid w:val="00D10FA0"/>
    <w:rsid w:val="00D1148F"/>
    <w:rsid w:val="00D3326D"/>
    <w:rsid w:val="00D36A91"/>
    <w:rsid w:val="00D50282"/>
    <w:rsid w:val="00D505EC"/>
    <w:rsid w:val="00D52668"/>
    <w:rsid w:val="00D6709A"/>
    <w:rsid w:val="00D704FC"/>
    <w:rsid w:val="00D7224E"/>
    <w:rsid w:val="00D842A7"/>
    <w:rsid w:val="00D859F6"/>
    <w:rsid w:val="00DA0583"/>
    <w:rsid w:val="00DA2313"/>
    <w:rsid w:val="00DA3CC6"/>
    <w:rsid w:val="00DC28D1"/>
    <w:rsid w:val="00DC6315"/>
    <w:rsid w:val="00DC6971"/>
    <w:rsid w:val="00DC6C0D"/>
    <w:rsid w:val="00DC7479"/>
    <w:rsid w:val="00DD6683"/>
    <w:rsid w:val="00DE34B6"/>
    <w:rsid w:val="00DF0C87"/>
    <w:rsid w:val="00E23D19"/>
    <w:rsid w:val="00E42441"/>
    <w:rsid w:val="00E44B50"/>
    <w:rsid w:val="00E477E7"/>
    <w:rsid w:val="00E64715"/>
    <w:rsid w:val="00E6649F"/>
    <w:rsid w:val="00E724BF"/>
    <w:rsid w:val="00E74D6A"/>
    <w:rsid w:val="00E77BA3"/>
    <w:rsid w:val="00E77CDC"/>
    <w:rsid w:val="00EA0136"/>
    <w:rsid w:val="00EB09E0"/>
    <w:rsid w:val="00EB1B77"/>
    <w:rsid w:val="00EB72C2"/>
    <w:rsid w:val="00EC2FA2"/>
    <w:rsid w:val="00EC718E"/>
    <w:rsid w:val="00ED28F2"/>
    <w:rsid w:val="00EE011D"/>
    <w:rsid w:val="00EE3268"/>
    <w:rsid w:val="00EE6785"/>
    <w:rsid w:val="00EF0045"/>
    <w:rsid w:val="00EF29AA"/>
    <w:rsid w:val="00F1221C"/>
    <w:rsid w:val="00F13656"/>
    <w:rsid w:val="00F16477"/>
    <w:rsid w:val="00F169DD"/>
    <w:rsid w:val="00F303C2"/>
    <w:rsid w:val="00F35B6B"/>
    <w:rsid w:val="00F43423"/>
    <w:rsid w:val="00F434D3"/>
    <w:rsid w:val="00F54A43"/>
    <w:rsid w:val="00F556D5"/>
    <w:rsid w:val="00F563EA"/>
    <w:rsid w:val="00F7165D"/>
    <w:rsid w:val="00F74420"/>
    <w:rsid w:val="00F76C8B"/>
    <w:rsid w:val="00F9025A"/>
    <w:rsid w:val="00F92AC8"/>
    <w:rsid w:val="00F93BB3"/>
    <w:rsid w:val="00FA3847"/>
    <w:rsid w:val="00FA40CA"/>
    <w:rsid w:val="00FA42E0"/>
    <w:rsid w:val="00FA6341"/>
    <w:rsid w:val="00FC359B"/>
    <w:rsid w:val="00FC45AD"/>
    <w:rsid w:val="00FC6D98"/>
    <w:rsid w:val="00FD7619"/>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 w:id="167591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79FE5-B183-490F-8915-B127215E7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2</TotalTime>
  <Pages>6</Pages>
  <Words>2185</Words>
  <Characters>12898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3</cp:revision>
  <cp:lastPrinted>2023-02-22T08:24:00Z</cp:lastPrinted>
  <dcterms:created xsi:type="dcterms:W3CDTF">2023-04-03T09:00:00Z</dcterms:created>
  <dcterms:modified xsi:type="dcterms:W3CDTF">2023-04-03T09:01:00Z</dcterms:modified>
</cp:coreProperties>
</file>