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66" w:rsidRDefault="004200FE" w:rsidP="0054606F">
      <w:pPr>
        <w:tabs>
          <w:tab w:val="left" w:pos="567"/>
          <w:tab w:val="left" w:pos="6379"/>
          <w:tab w:val="left" w:pos="7088"/>
        </w:tabs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0A9A9" wp14:editId="2D19777C">
                <wp:simplePos x="0" y="0"/>
                <wp:positionH relativeFrom="column">
                  <wp:posOffset>3747770</wp:posOffset>
                </wp:positionH>
                <wp:positionV relativeFrom="paragraph">
                  <wp:posOffset>-100965</wp:posOffset>
                </wp:positionV>
                <wp:extent cx="2028825" cy="3619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95.1pt;margin-top:-7.95pt;width:159.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" filled="f" strokecolor="windowText" strokeweight="1pt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0FF05" wp14:editId="6FF41E62">
                <wp:simplePos x="0" y="0"/>
                <wp:positionH relativeFrom="column">
                  <wp:posOffset>13970</wp:posOffset>
                </wp:positionH>
                <wp:positionV relativeFrom="paragraph">
                  <wp:posOffset>-100965</wp:posOffset>
                </wp:positionV>
                <wp:extent cx="2028825" cy="361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1pt;margin-top:-7.95pt;width:159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" filled="f" strokecolor="black [3213]" strokeweight="1pt"/>
            </w:pict>
          </mc:Fallback>
        </mc:AlternateContent>
      </w:r>
      <w:r>
        <w:rPr>
          <w:b/>
          <w:sz w:val="22"/>
        </w:rPr>
        <w:tab/>
        <w:t xml:space="preserve">     </w:t>
      </w:r>
      <w:r w:rsidRPr="0054606F">
        <w:rPr>
          <w:b/>
          <w:sz w:val="22"/>
        </w:rPr>
        <w:t>1984/2016</w:t>
      </w:r>
      <w:r w:rsidR="00182D7E">
        <w:rPr>
          <w:b/>
          <w:sz w:val="22"/>
        </w:rPr>
        <w:tab/>
        <w:t>E292-S-00004/14</w:t>
      </w:r>
    </w:p>
    <w:p w:rsidR="004200FE" w:rsidRDefault="004200FE" w:rsidP="0054606F">
      <w:pPr>
        <w:tabs>
          <w:tab w:val="left" w:pos="567"/>
          <w:tab w:val="left" w:pos="7088"/>
        </w:tabs>
        <w:rPr>
          <w:b/>
          <w:sz w:val="22"/>
        </w:rPr>
      </w:pPr>
    </w:p>
    <w:p w:rsidR="004200FE" w:rsidRPr="0054606F" w:rsidRDefault="004200FE" w:rsidP="0054606F">
      <w:pPr>
        <w:tabs>
          <w:tab w:val="left" w:pos="567"/>
          <w:tab w:val="left" w:pos="6237"/>
          <w:tab w:val="left" w:pos="7088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54606F">
        <w:rPr>
          <w:sz w:val="18"/>
          <w:szCs w:val="18"/>
        </w:rPr>
        <w:t xml:space="preserve">Interní </w:t>
      </w:r>
      <w:r w:rsidRPr="0054606F">
        <w:rPr>
          <w:rFonts w:hint="eastAsia"/>
          <w:sz w:val="18"/>
          <w:szCs w:val="18"/>
        </w:rPr>
        <w:t>čí</w:t>
      </w:r>
      <w:r w:rsidRPr="0054606F">
        <w:rPr>
          <w:sz w:val="18"/>
          <w:szCs w:val="18"/>
        </w:rPr>
        <w:t>slo smlouvy Dodavatele</w:t>
      </w:r>
      <w:r>
        <w:rPr>
          <w:sz w:val="18"/>
          <w:szCs w:val="18"/>
        </w:rPr>
        <w:tab/>
        <w:t>Interní číslo smlouvy Odběratele</w:t>
      </w:r>
    </w:p>
    <w:p w:rsidR="004200FE" w:rsidRDefault="004200FE" w:rsidP="006B6B78">
      <w:pPr>
        <w:pStyle w:val="Nadpis1"/>
      </w:pPr>
    </w:p>
    <w:p w:rsidR="006B6B78" w:rsidRPr="00C15B6B" w:rsidRDefault="006B6B78" w:rsidP="006B6B78">
      <w:pPr>
        <w:pStyle w:val="Nadpis1"/>
        <w:rPr>
          <w:szCs w:val="28"/>
        </w:rPr>
      </w:pPr>
      <w:r w:rsidRPr="00C34666">
        <w:t>Smlouva</w:t>
      </w:r>
    </w:p>
    <w:p w:rsidR="006B6B78" w:rsidRPr="00C15B6B" w:rsidRDefault="006B6B78" w:rsidP="006B6B78">
      <w:pPr>
        <w:pStyle w:val="Zkladntext"/>
        <w:rPr>
          <w:sz w:val="24"/>
          <w:szCs w:val="24"/>
        </w:rPr>
      </w:pPr>
      <w:r>
        <w:rPr>
          <w:b w:val="0"/>
          <w:sz w:val="22"/>
        </w:rPr>
        <w:t> </w:t>
      </w:r>
      <w:r w:rsidRPr="00C15B6B">
        <w:rPr>
          <w:sz w:val="24"/>
          <w:szCs w:val="24"/>
        </w:rPr>
        <w:t>o dodávce tepelné energie</w:t>
      </w:r>
    </w:p>
    <w:p w:rsidR="006B6B78" w:rsidRPr="00C34666" w:rsidRDefault="006B6B78" w:rsidP="006B6B78">
      <w:pPr>
        <w:pStyle w:val="Zkladntext"/>
        <w:rPr>
          <w:sz w:val="22"/>
        </w:rPr>
      </w:pPr>
      <w:r w:rsidRPr="00C34666">
        <w:rPr>
          <w:sz w:val="22"/>
        </w:rPr>
        <w:t xml:space="preserve"> </w:t>
      </w:r>
    </w:p>
    <w:p w:rsidR="00957166" w:rsidRPr="00F3760A" w:rsidRDefault="006B6B78" w:rsidP="006B6B78">
      <w:pPr>
        <w:jc w:val="center"/>
        <w:rPr>
          <w:sz w:val="22"/>
        </w:rPr>
      </w:pPr>
      <w:r w:rsidRPr="00D81819">
        <w:rPr>
          <w:b/>
          <w:sz w:val="22"/>
        </w:rPr>
        <w:t>uzavřená dle § 76 odst. 3 zákona č. 458/2000 Sb., o podmínkách podnikání a výkonu státní správy v energetických odvětvích a o změně některých zákonů (energetický zákon), v platném znění</w:t>
      </w:r>
    </w:p>
    <w:p w:rsidR="00916589" w:rsidRPr="00FE31DD" w:rsidRDefault="00916589" w:rsidP="006E1F9C">
      <w:pPr>
        <w:pStyle w:val="Nadpis4"/>
        <w:numPr>
          <w:ilvl w:val="0"/>
          <w:numId w:val="16"/>
        </w:numPr>
        <w:tabs>
          <w:tab w:val="clear" w:pos="680"/>
          <w:tab w:val="num" w:pos="3941"/>
        </w:tabs>
      </w:pPr>
      <w:r w:rsidRPr="00FE31DD">
        <w:t xml:space="preserve">Smluvní </w:t>
      </w:r>
      <w:r w:rsidRPr="009D0F9E">
        <w:t>strany</w:t>
      </w:r>
    </w:p>
    <w:p w:rsidR="00916589" w:rsidRPr="00CB10BC" w:rsidRDefault="00916589" w:rsidP="00916589">
      <w:pPr>
        <w:pStyle w:val="Nadpis2"/>
        <w:keepNext w:val="0"/>
        <w:ind w:left="709" w:hanging="709"/>
        <w:jc w:val="both"/>
        <w:rPr>
          <w:rFonts w:cs="Tahoma"/>
          <w:sz w:val="20"/>
        </w:rPr>
      </w:pPr>
      <w:proofErr w:type="gramStart"/>
      <w:r>
        <w:rPr>
          <w:rFonts w:cs="Tahoma"/>
          <w:sz w:val="20"/>
        </w:rPr>
        <w:t>I.1.</w:t>
      </w:r>
      <w:r>
        <w:rPr>
          <w:rFonts w:cs="Tahoma"/>
          <w:sz w:val="20"/>
        </w:rPr>
        <w:tab/>
      </w:r>
      <w:r w:rsidRPr="00CB10BC">
        <w:rPr>
          <w:rFonts w:cs="Tahoma"/>
          <w:sz w:val="20"/>
        </w:rPr>
        <w:t>Obchodní</w:t>
      </w:r>
      <w:proofErr w:type="gramEnd"/>
      <w:r w:rsidRPr="00CB10BC">
        <w:rPr>
          <w:rFonts w:cs="Tahoma"/>
          <w:sz w:val="20"/>
        </w:rPr>
        <w:t xml:space="preserve"> firma: </w:t>
      </w:r>
      <w:r w:rsidRPr="00CB10BC">
        <w:rPr>
          <w:rFonts w:cs="Tahoma"/>
          <w:b/>
          <w:bCs/>
          <w:sz w:val="20"/>
        </w:rPr>
        <w:t>ENERGETIKA TŘINEC, a.s.</w:t>
      </w:r>
    </w:p>
    <w:p w:rsidR="00916589" w:rsidRPr="00CB10BC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ab/>
      </w:r>
      <w:r w:rsidRPr="00CB10BC">
        <w:rPr>
          <w:rFonts w:cs="Tahoma"/>
        </w:rPr>
        <w:t>Sídlo:</w:t>
      </w:r>
      <w:r w:rsidRPr="00CB10BC">
        <w:rPr>
          <w:rFonts w:cs="Tahoma"/>
        </w:rPr>
        <w:tab/>
        <w:t xml:space="preserve">Průmyslová 1024, </w:t>
      </w:r>
      <w:r>
        <w:rPr>
          <w:rFonts w:cs="Tahoma"/>
        </w:rPr>
        <w:t xml:space="preserve">Staré Město, </w:t>
      </w:r>
      <w:r w:rsidRPr="00CB10BC">
        <w:rPr>
          <w:rFonts w:cs="Tahoma"/>
        </w:rPr>
        <w:t>739 6</w:t>
      </w:r>
      <w:r>
        <w:rPr>
          <w:rFonts w:cs="Tahoma"/>
        </w:rPr>
        <w:t>1 Třinec</w:t>
      </w:r>
    </w:p>
    <w:p w:rsidR="00D7571C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ab/>
      </w:r>
      <w:r w:rsidRPr="00D33CC3">
        <w:rPr>
          <w:rFonts w:cs="Tahoma"/>
        </w:rPr>
        <w:t>Zastoupena:</w:t>
      </w:r>
    </w:p>
    <w:p w:rsidR="00D7571C" w:rsidRDefault="00D7571C" w:rsidP="00916589">
      <w:pPr>
        <w:ind w:left="709" w:hanging="709"/>
        <w:rPr>
          <w:rFonts w:cs="Tahoma"/>
        </w:rPr>
      </w:pPr>
    </w:p>
    <w:p w:rsidR="00916589" w:rsidRPr="00CB10BC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ab/>
      </w:r>
      <w:r w:rsidRPr="00CB10BC">
        <w:rPr>
          <w:rFonts w:cs="Tahoma"/>
        </w:rPr>
        <w:t xml:space="preserve">IČ: </w:t>
      </w:r>
      <w:r w:rsidRPr="00CB10BC">
        <w:rPr>
          <w:rFonts w:cs="Tahoma"/>
        </w:rPr>
        <w:tab/>
        <w:t>47675896</w:t>
      </w:r>
    </w:p>
    <w:p w:rsidR="00916589" w:rsidRPr="00CB10BC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ab/>
      </w:r>
      <w:r w:rsidRPr="00CB10BC">
        <w:rPr>
          <w:rFonts w:cs="Tahoma"/>
        </w:rPr>
        <w:t>DIČ:</w:t>
      </w:r>
      <w:r w:rsidRPr="00CB10BC">
        <w:rPr>
          <w:rFonts w:cs="Tahoma"/>
        </w:rPr>
        <w:tab/>
        <w:t>CZ699002812</w:t>
      </w:r>
    </w:p>
    <w:p w:rsidR="00916589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ab/>
      </w:r>
      <w:r w:rsidRPr="00CB10BC">
        <w:rPr>
          <w:rFonts w:cs="Tahoma"/>
        </w:rPr>
        <w:t>Zapsaná v obchodním rejstř</w:t>
      </w:r>
      <w:r>
        <w:rPr>
          <w:rFonts w:cs="Tahoma"/>
        </w:rPr>
        <w:t xml:space="preserve">íku Krajského soudu v Ostravě, </w:t>
      </w:r>
      <w:r w:rsidRPr="00CB10BC">
        <w:rPr>
          <w:rFonts w:cs="Tahoma"/>
        </w:rPr>
        <w:t>oddíl B, vložka 708</w:t>
      </w:r>
    </w:p>
    <w:p w:rsidR="00916589" w:rsidRPr="00CB10BC" w:rsidRDefault="00916589" w:rsidP="00916589">
      <w:pPr>
        <w:ind w:left="709" w:hanging="709"/>
        <w:rPr>
          <w:rFonts w:cs="Tahoma"/>
        </w:rPr>
      </w:pPr>
      <w:r>
        <w:rPr>
          <w:rFonts w:cs="Tahoma"/>
        </w:rPr>
        <w:t xml:space="preserve">  </w:t>
      </w:r>
      <w:r>
        <w:rPr>
          <w:rFonts w:cs="Tahoma"/>
        </w:rPr>
        <w:tab/>
      </w:r>
      <w:r w:rsidRPr="00CB10BC">
        <w:rPr>
          <w:rFonts w:cs="Tahoma"/>
          <w:b/>
          <w:bCs/>
        </w:rPr>
        <w:t>(dále jen jako „Dodavatel“)</w:t>
      </w:r>
    </w:p>
    <w:p w:rsidR="00916589" w:rsidRPr="00CB10BC" w:rsidRDefault="00916589" w:rsidP="00916589">
      <w:pPr>
        <w:ind w:left="709" w:hanging="709"/>
        <w:rPr>
          <w:rFonts w:cs="Tahoma"/>
        </w:rPr>
      </w:pPr>
    </w:p>
    <w:p w:rsidR="00916589" w:rsidRPr="00F35832" w:rsidRDefault="00916589" w:rsidP="00916589">
      <w:proofErr w:type="gramStart"/>
      <w:r>
        <w:rPr>
          <w:rFonts w:cs="Tahoma"/>
        </w:rPr>
        <w:t>I.2.</w:t>
      </w:r>
      <w:r>
        <w:rPr>
          <w:rFonts w:cs="Tahoma"/>
        </w:rPr>
        <w:tab/>
      </w:r>
      <w:r w:rsidRPr="00840FD0">
        <w:rPr>
          <w:rFonts w:cs="Tahoma"/>
        </w:rPr>
        <w:t>Obchodní</w:t>
      </w:r>
      <w:proofErr w:type="gramEnd"/>
      <w:r w:rsidRPr="00840FD0">
        <w:rPr>
          <w:rFonts w:cs="Tahoma"/>
        </w:rPr>
        <w:t xml:space="preserve"> firma: </w:t>
      </w:r>
      <w:r w:rsidR="00B45A8F">
        <w:rPr>
          <w:b/>
        </w:rPr>
        <w:t>Správa železniční dopravní cesty, státní organizace</w:t>
      </w:r>
    </w:p>
    <w:p w:rsidR="00916589" w:rsidRPr="00F35832" w:rsidRDefault="00916589" w:rsidP="00916589">
      <w:pPr>
        <w:ind w:left="705"/>
      </w:pPr>
      <w:r>
        <w:rPr>
          <w:rFonts w:cs="Tahoma"/>
        </w:rPr>
        <w:tab/>
      </w:r>
      <w:r w:rsidRPr="00840FD0">
        <w:rPr>
          <w:rFonts w:cs="Tahoma"/>
        </w:rPr>
        <w:t xml:space="preserve">Sídlo: </w:t>
      </w:r>
      <w:r>
        <w:rPr>
          <w:rFonts w:cs="Tahoma"/>
        </w:rPr>
        <w:tab/>
      </w:r>
      <w:r w:rsidR="00B45A8F">
        <w:t>Dlážděná 1003/7, 110 00 Praha 1, Nové Město</w:t>
      </w:r>
    </w:p>
    <w:p w:rsidR="00916589" w:rsidRPr="00F35832" w:rsidRDefault="00916589" w:rsidP="00916589">
      <w:pPr>
        <w:ind w:left="2124" w:hanging="1419"/>
      </w:pPr>
      <w:r w:rsidRPr="00F35832">
        <w:t xml:space="preserve">Zastoupena: </w:t>
      </w:r>
      <w:r>
        <w:tab/>
      </w:r>
    </w:p>
    <w:p w:rsidR="00916589" w:rsidRPr="00F35832" w:rsidRDefault="00916589" w:rsidP="00916589">
      <w:pPr>
        <w:ind w:left="705"/>
      </w:pPr>
      <w:r w:rsidRPr="00F35832">
        <w:t>IČ:</w:t>
      </w:r>
      <w:r w:rsidRPr="00F35832">
        <w:tab/>
      </w:r>
      <w:r w:rsidR="00B45A8F">
        <w:t>70994234</w:t>
      </w:r>
    </w:p>
    <w:p w:rsidR="00916589" w:rsidRPr="00F35832" w:rsidRDefault="00916589" w:rsidP="00916589">
      <w:pPr>
        <w:ind w:left="705"/>
      </w:pPr>
      <w:r w:rsidRPr="00F35832">
        <w:t xml:space="preserve">DIČ: </w:t>
      </w:r>
      <w:r w:rsidRPr="00F35832">
        <w:tab/>
      </w:r>
      <w:r w:rsidR="00B45A8F">
        <w:t>CZ70994234</w:t>
      </w:r>
    </w:p>
    <w:p w:rsidR="00916589" w:rsidRDefault="00916589" w:rsidP="00916589">
      <w:pPr>
        <w:ind w:firstLine="705"/>
      </w:pPr>
      <w:r>
        <w:t xml:space="preserve">Zapsaná v obchodním rejstříku u Městského soudu v Praze, oddíl </w:t>
      </w:r>
      <w:r w:rsidR="00B45A8F">
        <w:t>A</w:t>
      </w:r>
      <w:r>
        <w:t xml:space="preserve">, vložka </w:t>
      </w:r>
      <w:r w:rsidR="00B45A8F">
        <w:t>48384</w:t>
      </w:r>
    </w:p>
    <w:p w:rsidR="00B45A8F" w:rsidRPr="00F35832" w:rsidRDefault="00B45A8F" w:rsidP="00916589">
      <w:pPr>
        <w:ind w:firstLine="705"/>
      </w:pPr>
      <w:r>
        <w:t>Kontaktní adresa: SŽDC, státní organizace</w:t>
      </w:r>
      <w:r w:rsidR="002D23AF">
        <w:t xml:space="preserve">, Regionální správa osobních nádraží Olomouc, </w:t>
      </w:r>
      <w:r w:rsidR="002D23AF">
        <w:tab/>
      </w:r>
      <w:r w:rsidR="002D23AF">
        <w:tab/>
      </w:r>
      <w:r w:rsidR="002D23AF">
        <w:tab/>
      </w:r>
      <w:r w:rsidR="002D23AF">
        <w:tab/>
        <w:t xml:space="preserve">   Jeremenkova 231/9, 779 00 Olomouc</w:t>
      </w:r>
    </w:p>
    <w:p w:rsidR="00916589" w:rsidRDefault="00916589" w:rsidP="00916589">
      <w:pPr>
        <w:rPr>
          <w:rFonts w:cs="Tahoma"/>
          <w:b/>
          <w:bCs/>
        </w:rPr>
      </w:pPr>
      <w:r w:rsidRPr="00840FD0">
        <w:rPr>
          <w:rFonts w:cs="Tahoma"/>
        </w:rPr>
        <w:t xml:space="preserve">       </w:t>
      </w:r>
      <w:r w:rsidRPr="00840FD0">
        <w:rPr>
          <w:rFonts w:cs="Tahoma"/>
        </w:rPr>
        <w:tab/>
      </w:r>
      <w:r w:rsidRPr="00840FD0">
        <w:rPr>
          <w:rFonts w:cs="Tahoma"/>
          <w:b/>
          <w:bCs/>
        </w:rPr>
        <w:t>(dále jen jako „Odběratel“)</w:t>
      </w:r>
    </w:p>
    <w:p w:rsidR="00916589" w:rsidRPr="00FE31DD" w:rsidRDefault="00916589" w:rsidP="00916589">
      <w:pPr>
        <w:pStyle w:val="Nadpis4"/>
        <w:tabs>
          <w:tab w:val="clear" w:pos="680"/>
          <w:tab w:val="num" w:pos="3941"/>
        </w:tabs>
      </w:pPr>
      <w:r>
        <w:rPr>
          <w:rFonts w:cs="Tahoma"/>
          <w:caps w:val="0"/>
        </w:rPr>
        <w:t>ÚVODNÍ USTANOVENÍ</w:t>
      </w:r>
    </w:p>
    <w:p w:rsidR="00916589" w:rsidRDefault="00916589" w:rsidP="00916589">
      <w:pPr>
        <w:pStyle w:val="slovn1"/>
        <w:numPr>
          <w:ilvl w:val="0"/>
          <w:numId w:val="0"/>
        </w:numPr>
        <w:ind w:left="567" w:hanging="567"/>
        <w:rPr>
          <w:rFonts w:cs="Tahoma"/>
        </w:rPr>
      </w:pPr>
      <w:proofErr w:type="gramStart"/>
      <w:r>
        <w:t>II.1.</w:t>
      </w:r>
      <w:r>
        <w:tab/>
      </w:r>
      <w:r w:rsidRPr="00F80F66">
        <w:t>Předmětem</w:t>
      </w:r>
      <w:proofErr w:type="gramEnd"/>
      <w:r w:rsidRPr="00F80F66">
        <w:t xml:space="preserve"> smlouvy je dodávka tepelné energie (dále též </w:t>
      </w:r>
      <w:r w:rsidRPr="00F80F66">
        <w:rPr>
          <w:b/>
        </w:rPr>
        <w:t>„TE“</w:t>
      </w:r>
      <w:r w:rsidRPr="00F80F66">
        <w:t xml:space="preserve">) </w:t>
      </w:r>
      <w:r w:rsidRPr="00D33CC3">
        <w:t xml:space="preserve">v teplé vodě a teplé užitkové vodě (dále jen </w:t>
      </w:r>
      <w:r w:rsidRPr="00D33CC3">
        <w:rPr>
          <w:b/>
        </w:rPr>
        <w:t>„TUV“</w:t>
      </w:r>
      <w:r w:rsidRPr="00D33CC3">
        <w:t xml:space="preserve">) ze zařízení „Centrálního zásobování teplem“ Dodavatele (dále též </w:t>
      </w:r>
      <w:r w:rsidRPr="00D33CC3">
        <w:rPr>
          <w:b/>
        </w:rPr>
        <w:t>„CZT“</w:t>
      </w:r>
      <w:r w:rsidRPr="00D33CC3">
        <w:t>) do odběrného místa Odběratele</w:t>
      </w:r>
      <w:r w:rsidRPr="00D33CC3">
        <w:rPr>
          <w:rFonts w:cs="Tahoma"/>
        </w:rPr>
        <w:t>, a Odběratel se zavazuje zaplatit za odebranou TE sjednanou cenu.</w:t>
      </w:r>
    </w:p>
    <w:p w:rsidR="00916589" w:rsidRPr="00FE31DD" w:rsidRDefault="00916589" w:rsidP="00916589">
      <w:pPr>
        <w:pStyle w:val="Nadpis2"/>
        <w:autoSpaceDE w:val="0"/>
        <w:autoSpaceDN w:val="0"/>
        <w:spacing w:after="120"/>
        <w:ind w:left="567" w:hanging="567"/>
        <w:jc w:val="both"/>
      </w:pPr>
      <w:proofErr w:type="gramStart"/>
      <w:r>
        <w:rPr>
          <w:rFonts w:cs="Tahoma"/>
          <w:bCs/>
          <w:sz w:val="20"/>
        </w:rPr>
        <w:t>II.2.</w:t>
      </w:r>
      <w:proofErr w:type="gramEnd"/>
      <w:r>
        <w:rPr>
          <w:rFonts w:cs="Tahoma"/>
          <w:bCs/>
          <w:sz w:val="20"/>
        </w:rPr>
        <w:t xml:space="preserve"> </w:t>
      </w:r>
      <w:r>
        <w:rPr>
          <w:rFonts w:cs="Tahoma"/>
          <w:bCs/>
          <w:sz w:val="20"/>
        </w:rPr>
        <w:tab/>
      </w:r>
      <w:r w:rsidRPr="00FF5C21">
        <w:rPr>
          <w:rFonts w:cs="Tahoma"/>
          <w:sz w:val="20"/>
        </w:rPr>
        <w:t>Odběratel prohlašuje, že tuto smlouvu uzavírá jako „zákazník“ ve smyslu tohoto pojmu, definovaného energetickým zákonem.</w:t>
      </w:r>
    </w:p>
    <w:p w:rsidR="00916589" w:rsidRDefault="00916589" w:rsidP="00916589">
      <w:pPr>
        <w:pStyle w:val="Nadpis4"/>
        <w:tabs>
          <w:tab w:val="clear" w:pos="680"/>
        </w:tabs>
        <w:ind w:left="567" w:hanging="567"/>
      </w:pPr>
      <w:r>
        <w:t>dodávky TE</w:t>
      </w:r>
    </w:p>
    <w:p w:rsidR="00916589" w:rsidRDefault="00916589" w:rsidP="00916589">
      <w:pPr>
        <w:pStyle w:val="slovn1"/>
        <w:numPr>
          <w:ilvl w:val="0"/>
          <w:numId w:val="0"/>
        </w:numPr>
        <w:ind w:left="567" w:hanging="567"/>
      </w:pPr>
      <w:proofErr w:type="gramStart"/>
      <w:r>
        <w:t>III.1.</w:t>
      </w:r>
      <w:proofErr w:type="gramEnd"/>
      <w:r>
        <w:t xml:space="preserve"> Pro dodávky TE se sjednává následující: 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/>
      </w:pPr>
      <w:r>
        <w:t xml:space="preserve">Předpokládaný odběr TE:  </w:t>
      </w:r>
      <w:r w:rsidR="00BC1114">
        <w:t xml:space="preserve"> </w:t>
      </w:r>
      <w:r w:rsidRPr="001B7993">
        <w:rPr>
          <w:b/>
        </w:rPr>
        <w:t xml:space="preserve">2 000 </w:t>
      </w:r>
      <w:r w:rsidRPr="00BE3C95">
        <w:rPr>
          <w:b/>
        </w:rPr>
        <w:t>GJ/rok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/>
      </w:pPr>
      <w:r w:rsidRPr="00BE3C95">
        <w:t>Instalovaný výkon pro ústřední vytápění</w:t>
      </w:r>
      <w:r>
        <w:t>:</w:t>
      </w:r>
      <w:r w:rsidRPr="00BE3C95">
        <w:t xml:space="preserve">   </w:t>
      </w:r>
      <w:r w:rsidR="003C70A4">
        <w:rPr>
          <w:b/>
        </w:rPr>
        <w:t>3</w:t>
      </w:r>
      <w:r>
        <w:rPr>
          <w:b/>
        </w:rPr>
        <w:t xml:space="preserve">00 </w:t>
      </w:r>
      <w:r w:rsidR="00861A96">
        <w:rPr>
          <w:b/>
        </w:rPr>
        <w:t>kW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/>
      </w:pPr>
      <w:r w:rsidRPr="00BE3C95">
        <w:t xml:space="preserve">Instalovaný výkon pro TUV:    </w:t>
      </w:r>
      <w:r w:rsidRPr="00BE3C95">
        <w:tab/>
      </w:r>
      <w:r w:rsidRPr="00BE3C95">
        <w:tab/>
        <w:t xml:space="preserve">  </w:t>
      </w:r>
      <w:r>
        <w:rPr>
          <w:b/>
        </w:rPr>
        <w:t xml:space="preserve">150 </w:t>
      </w:r>
      <w:r w:rsidR="00861A96">
        <w:rPr>
          <w:b/>
        </w:rPr>
        <w:t>kW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/>
      </w:pPr>
      <w:r w:rsidRPr="00BE3C95">
        <w:t>Časový průběh odběru (odběrový diagram): není stanoven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spacing w:after="240"/>
        <w:ind w:left="567"/>
      </w:pPr>
      <w:r w:rsidRPr="00BE3C95">
        <w:t>Časový průběh odběru pro stav nouze: nesjednává se</w:t>
      </w:r>
    </w:p>
    <w:p w:rsidR="00916589" w:rsidRPr="00BE3C95" w:rsidRDefault="00916589" w:rsidP="00916589">
      <w:pPr>
        <w:pStyle w:val="Nadpis2"/>
        <w:keepNext w:val="0"/>
        <w:autoSpaceDE w:val="0"/>
        <w:autoSpaceDN w:val="0"/>
        <w:spacing w:after="120"/>
        <w:ind w:left="567" w:hanging="567"/>
        <w:jc w:val="both"/>
        <w:rPr>
          <w:rFonts w:cs="Tahoma"/>
          <w:sz w:val="20"/>
        </w:rPr>
      </w:pPr>
      <w:bookmarkStart w:id="0" w:name="_Ref24287903"/>
      <w:proofErr w:type="gramStart"/>
      <w:r w:rsidRPr="00BE3C95">
        <w:rPr>
          <w:rFonts w:cs="Tahoma"/>
          <w:sz w:val="20"/>
        </w:rPr>
        <w:t>III.2.</w:t>
      </w:r>
      <w:r w:rsidRPr="00BE3C95">
        <w:rPr>
          <w:rFonts w:cs="Tahoma"/>
          <w:sz w:val="20"/>
        </w:rPr>
        <w:tab/>
        <w:t>Pro</w:t>
      </w:r>
      <w:proofErr w:type="gramEnd"/>
      <w:r w:rsidRPr="00BE3C95">
        <w:rPr>
          <w:rFonts w:cs="Tahoma"/>
          <w:sz w:val="20"/>
        </w:rPr>
        <w:t xml:space="preserve"> měření odběru </w:t>
      </w:r>
      <w:r>
        <w:rPr>
          <w:rFonts w:cs="Tahoma"/>
          <w:sz w:val="20"/>
        </w:rPr>
        <w:t>TE</w:t>
      </w:r>
      <w:r w:rsidRPr="00BE3C95">
        <w:rPr>
          <w:rFonts w:cs="Tahoma"/>
          <w:sz w:val="20"/>
        </w:rPr>
        <w:t xml:space="preserve"> podle této smlouvy se sjednává následující</w:t>
      </w:r>
      <w:bookmarkEnd w:id="0"/>
      <w:r w:rsidRPr="00BE3C95">
        <w:rPr>
          <w:rFonts w:cs="Tahoma"/>
          <w:sz w:val="20"/>
        </w:rPr>
        <w:t xml:space="preserve">: </w:t>
      </w:r>
    </w:p>
    <w:p w:rsidR="00916589" w:rsidRPr="001B7993" w:rsidRDefault="00916589" w:rsidP="00916589">
      <w:pPr>
        <w:pStyle w:val="Nadpis3"/>
        <w:keepNext w:val="0"/>
        <w:autoSpaceDE w:val="0"/>
        <w:autoSpaceDN w:val="0"/>
        <w:ind w:left="1407" w:hanging="840"/>
        <w:jc w:val="both"/>
        <w:rPr>
          <w:rFonts w:cs="Tahoma"/>
        </w:rPr>
      </w:pPr>
      <w:proofErr w:type="gramStart"/>
      <w:r w:rsidRPr="00BE3C95">
        <w:rPr>
          <w:rFonts w:cs="Tahoma"/>
          <w:b w:val="0"/>
        </w:rPr>
        <w:t>III</w:t>
      </w:r>
      <w:proofErr w:type="gramEnd"/>
      <w:r w:rsidRPr="00BE3C95">
        <w:rPr>
          <w:rFonts w:cs="Tahoma"/>
          <w:b w:val="0"/>
        </w:rPr>
        <w:t>.</w:t>
      </w:r>
      <w:proofErr w:type="gramStart"/>
      <w:r w:rsidRPr="00BE3C95">
        <w:rPr>
          <w:rFonts w:cs="Tahoma"/>
          <w:b w:val="0"/>
        </w:rPr>
        <w:t>2.1</w:t>
      </w:r>
      <w:proofErr w:type="gramEnd"/>
      <w:r w:rsidRPr="00BE3C95">
        <w:rPr>
          <w:rFonts w:cs="Tahoma"/>
          <w:b w:val="0"/>
        </w:rPr>
        <w:t>.</w:t>
      </w:r>
      <w:r w:rsidRPr="00BE3C95">
        <w:rPr>
          <w:rFonts w:cs="Tahoma"/>
          <w:b w:val="0"/>
        </w:rPr>
        <w:tab/>
      </w:r>
      <w:r w:rsidRPr="004B212B">
        <w:rPr>
          <w:rFonts w:cs="Tahoma"/>
          <w:b w:val="0"/>
        </w:rPr>
        <w:t>Odběrným místem (</w:t>
      </w:r>
      <w:r w:rsidRPr="00456A7A">
        <w:rPr>
          <w:rFonts w:cs="Tahoma"/>
          <w:b w:val="0"/>
        </w:rPr>
        <w:t>místem předání) j</w:t>
      </w:r>
      <w:r w:rsidR="009B083D">
        <w:rPr>
          <w:rFonts w:cs="Tahoma"/>
          <w:b w:val="0"/>
        </w:rPr>
        <w:t>e</w:t>
      </w:r>
      <w:r w:rsidRPr="00456A7A">
        <w:rPr>
          <w:rFonts w:cs="Tahoma"/>
          <w:b w:val="0"/>
        </w:rPr>
        <w:t xml:space="preserve">: </w:t>
      </w:r>
      <w:r w:rsidR="00861A96">
        <w:rPr>
          <w:rFonts w:cs="Tahoma"/>
        </w:rPr>
        <w:t>výpravní budova železniční stanice Třinec</w:t>
      </w:r>
    </w:p>
    <w:p w:rsidR="00916589" w:rsidRPr="00456A7A" w:rsidRDefault="00916589" w:rsidP="00916589">
      <w:r>
        <w:tab/>
      </w:r>
      <w:r>
        <w:tab/>
        <w:t xml:space="preserve">adresa: </w:t>
      </w:r>
      <w:r>
        <w:rPr>
          <w:b/>
        </w:rPr>
        <w:t>Nádražní</w:t>
      </w:r>
      <w:r w:rsidR="00861A96">
        <w:rPr>
          <w:b/>
        </w:rPr>
        <w:t xml:space="preserve"> 348</w:t>
      </w:r>
      <w:r>
        <w:rPr>
          <w:b/>
        </w:rPr>
        <w:t>, 739 61 Třinec</w:t>
      </w:r>
    </w:p>
    <w:p w:rsidR="00916589" w:rsidRDefault="00916589" w:rsidP="00916589">
      <w:pPr>
        <w:pStyle w:val="Nadpis3"/>
        <w:keepNext w:val="0"/>
        <w:autoSpaceDE w:val="0"/>
        <w:autoSpaceDN w:val="0"/>
        <w:spacing w:after="120"/>
        <w:ind w:left="567" w:hanging="567"/>
        <w:jc w:val="both"/>
        <w:rPr>
          <w:rFonts w:cs="Tahoma"/>
        </w:rPr>
      </w:pPr>
      <w:r w:rsidRPr="00BE3C95">
        <w:rPr>
          <w:rFonts w:cs="Tahoma"/>
          <w:b w:val="0"/>
        </w:rPr>
        <w:tab/>
      </w:r>
      <w:r w:rsidRPr="00BE3C95">
        <w:rPr>
          <w:rFonts w:cs="Tahoma"/>
          <w:b w:val="0"/>
        </w:rPr>
        <w:tab/>
      </w:r>
      <w:r w:rsidRPr="00BE3C95">
        <w:rPr>
          <w:rFonts w:cs="Tahoma"/>
          <w:b w:val="0"/>
        </w:rPr>
        <w:tab/>
      </w:r>
      <w:r w:rsidRPr="00BE3C95">
        <w:rPr>
          <w:b w:val="0"/>
        </w:rPr>
        <w:t xml:space="preserve">číslo měřiče nebo měřícího místa:  </w:t>
      </w:r>
      <w:r w:rsidR="002D23AF" w:rsidRPr="002D23AF">
        <w:t xml:space="preserve">ÚT </w:t>
      </w:r>
      <w:r w:rsidR="002D23AF">
        <w:rPr>
          <w:b w:val="0"/>
        </w:rPr>
        <w:t xml:space="preserve">- </w:t>
      </w:r>
      <w:r>
        <w:rPr>
          <w:rFonts w:cs="Tahoma"/>
        </w:rPr>
        <w:t>165</w:t>
      </w:r>
      <w:r w:rsidR="002D23AF">
        <w:rPr>
          <w:rFonts w:cs="Tahoma"/>
        </w:rPr>
        <w:t xml:space="preserve">,  TUV - </w:t>
      </w:r>
      <w:r w:rsidR="003C70A4">
        <w:rPr>
          <w:rFonts w:cs="Tahoma"/>
        </w:rPr>
        <w:t>167</w:t>
      </w:r>
      <w:r w:rsidRPr="00BE3C95">
        <w:rPr>
          <w:rFonts w:cs="Tahoma"/>
        </w:rPr>
        <w:tab/>
      </w:r>
    </w:p>
    <w:p w:rsidR="00916589" w:rsidRPr="00B15872" w:rsidRDefault="00916589" w:rsidP="00916589">
      <w:pPr>
        <w:pStyle w:val="Nadpis4"/>
        <w:tabs>
          <w:tab w:val="clear" w:pos="680"/>
          <w:tab w:val="num" w:pos="3941"/>
        </w:tabs>
        <w:ind w:left="567" w:hanging="567"/>
      </w:pPr>
      <w:r>
        <w:lastRenderedPageBreak/>
        <w:t xml:space="preserve">způsob měření, </w:t>
      </w:r>
      <w:r w:rsidRPr="00B15872">
        <w:t>náhradní způsob vyhodnocení dodávky te, dojde-li k poruše měřícího zařízení, a dohodA o přístupu k měřicím zařízením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 w:hanging="567"/>
      </w:pPr>
      <w:proofErr w:type="gramStart"/>
      <w:r w:rsidRPr="00BE3C95">
        <w:t>IV.1.</w:t>
      </w:r>
      <w:r>
        <w:tab/>
      </w:r>
      <w:r w:rsidRPr="00BE3C95">
        <w:t>Dodavatel</w:t>
      </w:r>
      <w:proofErr w:type="gramEnd"/>
      <w:r w:rsidRPr="00BE3C95">
        <w:t xml:space="preserve"> je povinen osadit v objektu/objektech Odběratele vlastní měřící zařízení s dálkovým přenosem dat, a to nejpozději ke dni zahájení dodávek TE podle této smlouvy.</w:t>
      </w:r>
    </w:p>
    <w:p w:rsidR="00916589" w:rsidRDefault="00916589" w:rsidP="00916589">
      <w:pPr>
        <w:pStyle w:val="slovn1"/>
        <w:numPr>
          <w:ilvl w:val="0"/>
          <w:numId w:val="0"/>
        </w:numPr>
        <w:ind w:left="567" w:hanging="567"/>
      </w:pPr>
      <w:proofErr w:type="gramStart"/>
      <w:r w:rsidRPr="00BE3C95">
        <w:t>IV.2.</w:t>
      </w:r>
      <w:r>
        <w:tab/>
      </w:r>
      <w:r w:rsidRPr="00BE3C95">
        <w:t>Dodavatel</w:t>
      </w:r>
      <w:proofErr w:type="gramEnd"/>
      <w:r w:rsidRPr="00BE3C95">
        <w:t xml:space="preserve"> je oprávněn vyžadovat a Odběratel je povinen umožnit přístup k měřícímu zařízení odběru TE. </w:t>
      </w:r>
    </w:p>
    <w:p w:rsidR="00916589" w:rsidRPr="00BE3C95" w:rsidRDefault="00916589" w:rsidP="00916589">
      <w:pPr>
        <w:pStyle w:val="slovn1"/>
        <w:numPr>
          <w:ilvl w:val="0"/>
          <w:numId w:val="0"/>
        </w:numPr>
        <w:ind w:left="567" w:hanging="567"/>
      </w:pPr>
      <w:r>
        <w:t>IV.3.</w:t>
      </w:r>
      <w:r>
        <w:tab/>
      </w:r>
      <w:r w:rsidRPr="00BE3C95">
        <w:t>Bližší podmínky zajiště</w:t>
      </w:r>
      <w:r>
        <w:t xml:space="preserve">ní měření, </w:t>
      </w:r>
      <w:r w:rsidRPr="00BE3C95">
        <w:t xml:space="preserve">přístupu k měřícímu zařízení </w:t>
      </w:r>
      <w:r>
        <w:t xml:space="preserve">a náhradní způsob vyhodnocení dodávky TE v případě poruchy  měřícího zařízení </w:t>
      </w:r>
      <w:r w:rsidRPr="00BE3C95">
        <w:t xml:space="preserve">jsou uvedeny v technických a dodacích podmínkách, tvořících ve smyslu čl. </w:t>
      </w:r>
      <w:proofErr w:type="gramStart"/>
      <w:r>
        <w:t xml:space="preserve">VIII.2. </w:t>
      </w:r>
      <w:r w:rsidRPr="00BE3C95">
        <w:t>této</w:t>
      </w:r>
      <w:proofErr w:type="gramEnd"/>
      <w:r w:rsidRPr="00BE3C95">
        <w:t xml:space="preserve"> smlouvy nedílnou součást smluvních ujednání.  </w:t>
      </w:r>
    </w:p>
    <w:p w:rsidR="00916589" w:rsidRPr="001B7993" w:rsidRDefault="00916589" w:rsidP="00916589">
      <w:pPr>
        <w:pStyle w:val="slovn1"/>
        <w:numPr>
          <w:ilvl w:val="0"/>
          <w:numId w:val="0"/>
        </w:numPr>
        <w:ind w:left="567" w:hanging="567"/>
      </w:pPr>
      <w:proofErr w:type="gramStart"/>
      <w:r>
        <w:t>IV.4</w:t>
      </w:r>
      <w:r w:rsidRPr="00BE3C95">
        <w:t>.</w:t>
      </w:r>
      <w:r>
        <w:tab/>
      </w:r>
      <w:r w:rsidRPr="001B7993">
        <w:t>Elektrickou</w:t>
      </w:r>
      <w:proofErr w:type="gramEnd"/>
      <w:r w:rsidRPr="001B7993">
        <w:t xml:space="preserve"> energii pro potřeby provozu výměníkové stanice je povinen obstarat vlastním nákladem Odběratel. Umístění výměníkové stanice v nemovitosti – souboru objektů je předmětem </w:t>
      </w:r>
      <w:r w:rsidR="006B6B78">
        <w:t>nájemní smlouvy č. 2927743607.</w:t>
      </w:r>
    </w:p>
    <w:p w:rsidR="00916589" w:rsidRPr="001B7993" w:rsidRDefault="00916589" w:rsidP="0054606F">
      <w:pPr>
        <w:pStyle w:val="slovn1"/>
        <w:numPr>
          <w:ilvl w:val="0"/>
          <w:numId w:val="0"/>
        </w:numPr>
        <w:ind w:left="567" w:hanging="567"/>
      </w:pPr>
      <w:proofErr w:type="gramStart"/>
      <w:r w:rsidRPr="001B7993">
        <w:t>IV.5.</w:t>
      </w:r>
      <w:r w:rsidRPr="001B7993">
        <w:tab/>
      </w:r>
      <w:r>
        <w:t>Odběratel</w:t>
      </w:r>
      <w:proofErr w:type="gramEnd"/>
      <w:r>
        <w:t xml:space="preserve"> prohlašuje, </w:t>
      </w:r>
      <w:r w:rsidRPr="001B7993">
        <w:t xml:space="preserve">že </w:t>
      </w:r>
      <w:r w:rsidR="006B6B78" w:rsidRPr="006B6B78">
        <w:t>je vlastníkem nemovitosti – souboru objektů, pro který je sjednávána touto smlouvou dodávka a odběr TE</w:t>
      </w:r>
      <w:r w:rsidR="00491C56">
        <w:t>.</w:t>
      </w:r>
    </w:p>
    <w:p w:rsidR="00916589" w:rsidRPr="001B7993" w:rsidRDefault="00916589" w:rsidP="00916589">
      <w:pPr>
        <w:pStyle w:val="Nadpis4"/>
        <w:tabs>
          <w:tab w:val="clear" w:pos="680"/>
          <w:tab w:val="num" w:pos="3941"/>
        </w:tabs>
      </w:pPr>
      <w:r w:rsidRPr="001B7993">
        <w:t>Cena TE</w:t>
      </w:r>
    </w:p>
    <w:p w:rsidR="00916589" w:rsidRPr="001B7993" w:rsidRDefault="00916589" w:rsidP="006E1F9C">
      <w:pPr>
        <w:pStyle w:val="slovn1"/>
        <w:numPr>
          <w:ilvl w:val="0"/>
          <w:numId w:val="0"/>
        </w:numPr>
        <w:spacing w:after="80"/>
        <w:ind w:left="567" w:hanging="567"/>
      </w:pPr>
      <w:proofErr w:type="gramStart"/>
      <w:r w:rsidRPr="001B7993">
        <w:t>V.1.</w:t>
      </w:r>
      <w:proofErr w:type="gramEnd"/>
      <w:r w:rsidRPr="001B7993">
        <w:t xml:space="preserve"> </w:t>
      </w:r>
      <w:r w:rsidRPr="001B7993">
        <w:tab/>
      </w:r>
      <w:r w:rsidRPr="001B7993">
        <w:rPr>
          <w:rFonts w:cs="Tahoma"/>
        </w:rPr>
        <w:t xml:space="preserve">Cena za dodávky TE se sjednává dohodou smluvních stran jako cena </w:t>
      </w:r>
      <w:r w:rsidRPr="001B7993">
        <w:rPr>
          <w:rFonts w:cs="Tahoma"/>
          <w:b/>
        </w:rPr>
        <w:t>jednosložková</w:t>
      </w:r>
      <w:r w:rsidRPr="001B7993">
        <w:rPr>
          <w:rFonts w:cs="Tahoma"/>
        </w:rPr>
        <w:t>, sestávající z:</w:t>
      </w:r>
    </w:p>
    <w:p w:rsidR="00916589" w:rsidRPr="001B7993" w:rsidRDefault="00916589" w:rsidP="006E1F9C">
      <w:pPr>
        <w:pStyle w:val="slovn1"/>
        <w:numPr>
          <w:ilvl w:val="0"/>
          <w:numId w:val="0"/>
        </w:numPr>
        <w:spacing w:after="80"/>
        <w:ind w:firstLine="360"/>
      </w:pPr>
      <w:r w:rsidRPr="001B7993">
        <w:tab/>
        <w:t xml:space="preserve">Ceny za odběr tepla v teplé vodě ve výši </w:t>
      </w:r>
    </w:p>
    <w:p w:rsidR="00916589" w:rsidRPr="001B7993" w:rsidRDefault="00916589" w:rsidP="006E1F9C">
      <w:pPr>
        <w:pStyle w:val="slovn1"/>
        <w:numPr>
          <w:ilvl w:val="0"/>
          <w:numId w:val="0"/>
        </w:numPr>
        <w:spacing w:after="80"/>
        <w:ind w:firstLine="709"/>
        <w:rPr>
          <w:b/>
        </w:rPr>
      </w:pPr>
      <w:r w:rsidRPr="001B7993">
        <w:t xml:space="preserve">Ceny za odběr tepla v teplé užitkové vodě ve výši </w:t>
      </w:r>
    </w:p>
    <w:p w:rsidR="00916589" w:rsidRPr="001B7993" w:rsidRDefault="00916589" w:rsidP="00916589">
      <w:pPr>
        <w:pStyle w:val="slovn1"/>
        <w:numPr>
          <w:ilvl w:val="0"/>
          <w:numId w:val="0"/>
        </w:numPr>
        <w:spacing w:after="240"/>
        <w:ind w:firstLine="709"/>
      </w:pPr>
      <w:r w:rsidRPr="001B7993">
        <w:t xml:space="preserve">Ceny za odběr </w:t>
      </w:r>
      <w:proofErr w:type="spellStart"/>
      <w:r w:rsidRPr="001B7993">
        <w:t>demi</w:t>
      </w:r>
      <w:proofErr w:type="spellEnd"/>
      <w:r w:rsidRPr="001B7993">
        <w:t xml:space="preserve"> vody pro doplňování topného systému ve výši </w:t>
      </w:r>
    </w:p>
    <w:p w:rsidR="00916589" w:rsidRPr="001B7993" w:rsidRDefault="00916589" w:rsidP="00916589">
      <w:pPr>
        <w:pStyle w:val="slovn1"/>
        <w:numPr>
          <w:ilvl w:val="0"/>
          <w:numId w:val="0"/>
        </w:numPr>
        <w:ind w:left="567" w:hanging="567"/>
      </w:pPr>
      <w:proofErr w:type="gramStart"/>
      <w:r w:rsidRPr="001B7993">
        <w:t>V.2.</w:t>
      </w:r>
      <w:proofErr w:type="gramEnd"/>
      <w:r w:rsidRPr="001B7993">
        <w:t xml:space="preserve"> </w:t>
      </w:r>
      <w:r w:rsidRPr="001B7993">
        <w:tab/>
        <w:t xml:space="preserve">Ceny TE podle </w:t>
      </w:r>
      <w:proofErr w:type="gramStart"/>
      <w:r w:rsidRPr="001B7993">
        <w:t>čl. V.1. této</w:t>
      </w:r>
      <w:proofErr w:type="gramEnd"/>
      <w:r w:rsidRPr="001B7993">
        <w:t xml:space="preserve"> smlouvy jsou sjednány v souladu s platným cenovým Rozhodnutím Energetického regulačního úřadu.</w:t>
      </w:r>
    </w:p>
    <w:p w:rsidR="00916589" w:rsidRPr="001B7993" w:rsidRDefault="00916589" w:rsidP="009B083D">
      <w:pPr>
        <w:pStyle w:val="slovn1"/>
        <w:numPr>
          <w:ilvl w:val="0"/>
          <w:numId w:val="0"/>
        </w:numPr>
        <w:ind w:left="567" w:hanging="567"/>
      </w:pPr>
      <w:proofErr w:type="gramStart"/>
      <w:r w:rsidRPr="001B7993">
        <w:t>V.3.</w:t>
      </w:r>
      <w:proofErr w:type="gramEnd"/>
      <w:r w:rsidRPr="001B7993">
        <w:t xml:space="preserve"> </w:t>
      </w:r>
      <w:r w:rsidRPr="001B7993">
        <w:tab/>
      </w:r>
      <w:r>
        <w:t xml:space="preserve">Cenu TE </w:t>
      </w:r>
      <w:r w:rsidRPr="00D94F01">
        <w:t xml:space="preserve">bude </w:t>
      </w:r>
      <w:r>
        <w:t>Dodavatel</w:t>
      </w:r>
      <w:r w:rsidRPr="00D94F01">
        <w:t xml:space="preserve"> </w:t>
      </w:r>
      <w:r>
        <w:t>Odběrateli</w:t>
      </w:r>
      <w:r w:rsidRPr="00D94F01">
        <w:t xml:space="preserve"> </w:t>
      </w:r>
      <w:r>
        <w:t>účtovat dle</w:t>
      </w:r>
      <w:r w:rsidR="006E1F9C">
        <w:t xml:space="preserve"> skutečné spotřeby, zjištěné z </w:t>
      </w:r>
      <w:r w:rsidR="00886381">
        <w:t>údajů měřícího zařízení</w:t>
      </w:r>
      <w:r w:rsidRPr="00D94F01">
        <w:t>.</w:t>
      </w:r>
    </w:p>
    <w:p w:rsidR="00A07DA1" w:rsidRPr="009E26F1" w:rsidRDefault="00916589" w:rsidP="00131BDF">
      <w:pPr>
        <w:spacing w:after="120"/>
        <w:ind w:left="567" w:hanging="567"/>
        <w:jc w:val="both"/>
        <w:rPr>
          <w:rFonts w:cs="Tahoma"/>
        </w:rPr>
      </w:pPr>
      <w:proofErr w:type="gramStart"/>
      <w:r w:rsidRPr="001B7993">
        <w:rPr>
          <w:rFonts w:cs="Tahoma"/>
        </w:rPr>
        <w:t>V.</w:t>
      </w:r>
      <w:r w:rsidR="009B083D">
        <w:rPr>
          <w:rFonts w:cs="Tahoma"/>
        </w:rPr>
        <w:t>4</w:t>
      </w:r>
      <w:r w:rsidRPr="001B7993">
        <w:rPr>
          <w:rFonts w:cs="Tahoma"/>
        </w:rPr>
        <w:t>.</w:t>
      </w:r>
      <w:proofErr w:type="gramEnd"/>
      <w:r w:rsidRPr="001B7993">
        <w:rPr>
          <w:rFonts w:cs="Tahoma"/>
        </w:rPr>
        <w:t xml:space="preserve">   </w:t>
      </w:r>
      <w:r w:rsidRPr="001B7993">
        <w:tab/>
      </w:r>
      <w:r w:rsidRPr="001B7993">
        <w:rPr>
          <w:rFonts w:cs="Tahoma"/>
          <w:bCs/>
        </w:rPr>
        <w:t xml:space="preserve">Odběratel podpisem této smlouvy žádá Dodavatele, aby mu bylo vyúčtování dodávek TE  poskytnuto pouze v rozsahu podle </w:t>
      </w:r>
      <w:proofErr w:type="spellStart"/>
      <w:r w:rsidRPr="001B7993">
        <w:rPr>
          <w:rFonts w:cs="Tahoma"/>
          <w:bCs/>
        </w:rPr>
        <w:t>ust</w:t>
      </w:r>
      <w:proofErr w:type="spellEnd"/>
      <w:r w:rsidRPr="001B7993">
        <w:rPr>
          <w:rFonts w:cs="Tahoma"/>
          <w:bCs/>
        </w:rPr>
        <w:t xml:space="preserve">. § </w:t>
      </w:r>
      <w:r w:rsidR="002D23AF">
        <w:rPr>
          <w:rFonts w:cs="Tahoma"/>
          <w:bCs/>
        </w:rPr>
        <w:t>3 odst. 2 písm. a)</w:t>
      </w:r>
      <w:r w:rsidRPr="001B7993">
        <w:rPr>
          <w:rFonts w:cs="Tahoma"/>
          <w:bCs/>
        </w:rPr>
        <w:t xml:space="preserve"> vyhlášky Energetického regulačního úřadu č. </w:t>
      </w:r>
      <w:r w:rsidR="002D23AF">
        <w:rPr>
          <w:rFonts w:cs="Tahoma"/>
          <w:bCs/>
        </w:rPr>
        <w:t>70/2016</w:t>
      </w:r>
      <w:r w:rsidRPr="001B7993">
        <w:rPr>
          <w:rFonts w:cs="Tahoma"/>
          <w:bCs/>
        </w:rPr>
        <w:t xml:space="preserve"> Sb., v platném znění. Dodavatel podpisem této smlouvy žádost Odběratele akceptuje s tím, že zbývající části vyúčtování, které nebudou Odběrateli posk</w:t>
      </w:r>
      <w:r w:rsidRPr="00FA25F5">
        <w:rPr>
          <w:rFonts w:cs="Tahoma"/>
          <w:bCs/>
        </w:rPr>
        <w:t xml:space="preserve">ytnuty, budou Odběrateli zpřístupněny způsobem umožňujícím dálkový přístup </w:t>
      </w:r>
      <w:r w:rsidRPr="00FA25F5">
        <w:rPr>
          <w:rFonts w:cs="Tahoma"/>
        </w:rPr>
        <w:t xml:space="preserve">prostřednictvím </w:t>
      </w:r>
      <w:r>
        <w:rPr>
          <w:rFonts w:cs="Tahoma"/>
        </w:rPr>
        <w:t xml:space="preserve">webových stránek Dodavatele - </w:t>
      </w:r>
      <w:r w:rsidRPr="00456A7A">
        <w:rPr>
          <w:rFonts w:cs="Tahoma"/>
        </w:rPr>
        <w:t xml:space="preserve">viz link </w:t>
      </w:r>
      <w:hyperlink r:id="rId8" w:history="1">
        <w:r w:rsidRPr="009E26F1">
          <w:rPr>
            <w:rStyle w:val="Hypertextovodkaz"/>
            <w:rFonts w:cs="Tahoma"/>
          </w:rPr>
          <w:t>http://www.etas.trz.cz/</w:t>
        </w:r>
      </w:hyperlink>
      <w:r w:rsidRPr="009E26F1">
        <w:rPr>
          <w:rFonts w:cs="Tahoma"/>
        </w:rPr>
        <w:t>.</w:t>
      </w:r>
    </w:p>
    <w:p w:rsidR="00916589" w:rsidRPr="00F47AFA" w:rsidRDefault="00916589" w:rsidP="00916589">
      <w:pPr>
        <w:pStyle w:val="Nadpis4"/>
        <w:tabs>
          <w:tab w:val="clear" w:pos="680"/>
          <w:tab w:val="num" w:pos="3941"/>
        </w:tabs>
      </w:pPr>
      <w:r>
        <w:t xml:space="preserve">  </w:t>
      </w:r>
      <w:r w:rsidRPr="00F47AFA">
        <w:t>Smluvní pokuty</w:t>
      </w:r>
    </w:p>
    <w:p w:rsidR="007C0B0C" w:rsidRDefault="00916589" w:rsidP="00657274">
      <w:pPr>
        <w:spacing w:after="120"/>
        <w:ind w:left="567" w:hanging="567"/>
        <w:jc w:val="both"/>
        <w:rPr>
          <w:rFonts w:cs="Tahoma"/>
        </w:rPr>
      </w:pPr>
      <w:proofErr w:type="gramStart"/>
      <w:r>
        <w:rPr>
          <w:rFonts w:cs="Tahoma"/>
        </w:rPr>
        <w:t>VI.1</w:t>
      </w:r>
      <w:r w:rsidRPr="00B15872">
        <w:rPr>
          <w:rFonts w:cs="Tahoma"/>
        </w:rPr>
        <w:t>.</w:t>
      </w:r>
      <w:proofErr w:type="gramEnd"/>
      <w:r w:rsidRPr="00B15872">
        <w:rPr>
          <w:rFonts w:cs="Tahoma"/>
        </w:rPr>
        <w:t xml:space="preserve"> </w:t>
      </w:r>
      <w:r>
        <w:rPr>
          <w:rFonts w:cs="Tahoma"/>
        </w:rPr>
        <w:t xml:space="preserve"> </w:t>
      </w:r>
      <w:r>
        <w:rPr>
          <w:rFonts w:cs="Tahoma"/>
        </w:rPr>
        <w:tab/>
      </w:r>
      <w:r w:rsidR="007C0B0C" w:rsidRPr="00B15872">
        <w:rPr>
          <w:rFonts w:cs="Tahoma"/>
        </w:rPr>
        <w:t>Za nezaplacení ceny TE je Odběratel povinen Dodavateli uhradit smluvní pokutu ve výši 0,03 % z dlužné částky za každý, i započatý, den prodlení.</w:t>
      </w:r>
    </w:p>
    <w:p w:rsidR="00916589" w:rsidRPr="00FD72BB" w:rsidRDefault="007C0B0C" w:rsidP="00657274">
      <w:pPr>
        <w:spacing w:after="120"/>
        <w:ind w:left="567" w:hanging="567"/>
        <w:jc w:val="both"/>
      </w:pPr>
      <w:proofErr w:type="gramStart"/>
      <w:r>
        <w:t>VI.2.</w:t>
      </w:r>
      <w:r>
        <w:tab/>
      </w:r>
      <w:r w:rsidR="00916589" w:rsidRPr="00FD72BB">
        <w:t>Pokud</w:t>
      </w:r>
      <w:proofErr w:type="gramEnd"/>
      <w:r w:rsidR="00916589" w:rsidRPr="00FD72BB">
        <w:t xml:space="preserve"> se Odběratel dopustí neoprávněného odběru TE, je povinen zaplatit Dodavateli smluvní pokutu ve výši dvojnásobku ceny TE za každý neoprávněně odebraný GJ.</w:t>
      </w:r>
    </w:p>
    <w:p w:rsidR="00916589" w:rsidRPr="00FD72BB" w:rsidRDefault="00916589" w:rsidP="00735E99">
      <w:pPr>
        <w:pStyle w:val="slovn2"/>
        <w:spacing w:after="0"/>
        <w:ind w:left="567" w:hanging="567"/>
        <w:rPr>
          <w:rFonts w:ascii="Tahoma" w:hAnsi="Tahoma" w:cs="Tahoma"/>
          <w:sz w:val="20"/>
        </w:rPr>
      </w:pPr>
      <w:proofErr w:type="gramStart"/>
      <w:r w:rsidRPr="00FD72BB">
        <w:rPr>
          <w:rFonts w:ascii="Tahoma" w:hAnsi="Tahoma" w:cs="Tahoma"/>
          <w:sz w:val="20"/>
        </w:rPr>
        <w:t>VI.</w:t>
      </w:r>
      <w:r w:rsidR="007C0B0C">
        <w:rPr>
          <w:rFonts w:ascii="Tahoma" w:hAnsi="Tahoma" w:cs="Tahoma"/>
          <w:sz w:val="20"/>
        </w:rPr>
        <w:t>3</w:t>
      </w:r>
      <w:r w:rsidRPr="00FD72BB">
        <w:rPr>
          <w:rFonts w:ascii="Tahoma" w:hAnsi="Tahoma" w:cs="Tahoma"/>
          <w:sz w:val="20"/>
        </w:rPr>
        <w:t>.</w:t>
      </w:r>
      <w:proofErr w:type="gramEnd"/>
      <w:r w:rsidRPr="00FD72BB">
        <w:rPr>
          <w:rFonts w:ascii="Tahoma" w:hAnsi="Tahoma" w:cs="Tahoma"/>
          <w:sz w:val="20"/>
        </w:rPr>
        <w:t xml:space="preserve"> </w:t>
      </w:r>
      <w:r w:rsidRPr="00FD72BB">
        <w:rPr>
          <w:rFonts w:ascii="Tahoma" w:hAnsi="Tahoma" w:cs="Tahoma"/>
          <w:sz w:val="20"/>
        </w:rPr>
        <w:tab/>
        <w:t xml:space="preserve">V případě, že Odběratel nesplní podmínky pro připojení/opětovné připojení odběrného tepelného zařízení, spočívající v </w:t>
      </w:r>
    </w:p>
    <w:p w:rsidR="00916589" w:rsidRPr="00FD72BB" w:rsidRDefault="00916589" w:rsidP="00735E99">
      <w:pPr>
        <w:pStyle w:val="StylZnaka1Za0b"/>
        <w:numPr>
          <w:ilvl w:val="0"/>
          <w:numId w:val="12"/>
        </w:numPr>
        <w:rPr>
          <w:rFonts w:ascii="Tahoma" w:hAnsi="Tahoma"/>
          <w:sz w:val="20"/>
        </w:rPr>
      </w:pPr>
      <w:r w:rsidRPr="00FD72BB">
        <w:rPr>
          <w:rFonts w:ascii="Tahoma" w:hAnsi="Tahoma"/>
          <w:sz w:val="20"/>
        </w:rPr>
        <w:t>provedení proplachu potrubí,</w:t>
      </w:r>
    </w:p>
    <w:p w:rsidR="00916589" w:rsidRPr="00FD72BB" w:rsidRDefault="00916589" w:rsidP="00735E99">
      <w:pPr>
        <w:pStyle w:val="StylZnaka1Za0b"/>
        <w:numPr>
          <w:ilvl w:val="0"/>
          <w:numId w:val="12"/>
        </w:numPr>
        <w:rPr>
          <w:rFonts w:ascii="Tahoma" w:hAnsi="Tahoma"/>
          <w:sz w:val="20"/>
        </w:rPr>
      </w:pPr>
      <w:r w:rsidRPr="00FD72BB">
        <w:rPr>
          <w:rFonts w:ascii="Tahoma" w:hAnsi="Tahoma"/>
          <w:sz w:val="20"/>
        </w:rPr>
        <w:t>naplnění potrubí vodou (pokud se s Dodavatelem nedohodne jinak),</w:t>
      </w:r>
    </w:p>
    <w:p w:rsidR="00916589" w:rsidRPr="00FD72BB" w:rsidRDefault="00916589" w:rsidP="00735E99">
      <w:pPr>
        <w:pStyle w:val="StylZnaka1Za0b"/>
        <w:numPr>
          <w:ilvl w:val="0"/>
          <w:numId w:val="12"/>
        </w:numPr>
      </w:pPr>
      <w:r w:rsidRPr="00FD72BB">
        <w:rPr>
          <w:rFonts w:ascii="Tahoma" w:hAnsi="Tahoma"/>
          <w:sz w:val="20"/>
        </w:rPr>
        <w:t>provedení topné zkoušky a hydraulického vyvážení systému,</w:t>
      </w:r>
    </w:p>
    <w:p w:rsidR="00916589" w:rsidRPr="00FD72BB" w:rsidRDefault="00916589" w:rsidP="00735E99">
      <w:pPr>
        <w:pStyle w:val="slovn2"/>
        <w:spacing w:after="0"/>
        <w:ind w:left="567"/>
      </w:pPr>
      <w:r w:rsidRPr="00FD72BB">
        <w:rPr>
          <w:rFonts w:ascii="Tahoma" w:hAnsi="Tahoma" w:cs="Tahoma"/>
          <w:sz w:val="20"/>
        </w:rPr>
        <w:t xml:space="preserve">a to ani po písemné výzvě Dodavatele, je povinen uhradit Dodavateli </w:t>
      </w:r>
      <w:r>
        <w:rPr>
          <w:rFonts w:ascii="Tahoma" w:hAnsi="Tahoma" w:cs="Tahoma"/>
          <w:sz w:val="20"/>
        </w:rPr>
        <w:t>smluvní pokutu do výše 20 000,- </w:t>
      </w:r>
      <w:r w:rsidRPr="00FD72BB">
        <w:rPr>
          <w:rFonts w:ascii="Tahoma" w:hAnsi="Tahoma" w:cs="Tahoma"/>
          <w:sz w:val="20"/>
        </w:rPr>
        <w:t xml:space="preserve">Kč za každé jednotlivé neplnění. </w:t>
      </w:r>
    </w:p>
    <w:p w:rsidR="00916589" w:rsidRPr="00FD72BB" w:rsidRDefault="00916589" w:rsidP="00735E99">
      <w:pPr>
        <w:rPr>
          <w:rFonts w:cs="Tahoma"/>
        </w:rPr>
      </w:pPr>
    </w:p>
    <w:p w:rsidR="00916589" w:rsidRPr="00FD72BB" w:rsidRDefault="00916589" w:rsidP="00735E99">
      <w:pPr>
        <w:spacing w:after="120"/>
        <w:ind w:left="567" w:hanging="567"/>
        <w:jc w:val="both"/>
        <w:rPr>
          <w:rFonts w:cs="Tahoma"/>
        </w:rPr>
      </w:pPr>
      <w:proofErr w:type="gramStart"/>
      <w:r w:rsidRPr="00FD72BB">
        <w:t>VI.</w:t>
      </w:r>
      <w:r w:rsidR="007C0B0C">
        <w:t>4</w:t>
      </w:r>
      <w:r w:rsidRPr="00FD72BB">
        <w:t>.</w:t>
      </w:r>
      <w:proofErr w:type="gramEnd"/>
      <w:r w:rsidRPr="00FD72BB">
        <w:t xml:space="preserve">  V případě neoprávněného vypouštění </w:t>
      </w:r>
      <w:r w:rsidRPr="00D33CC3">
        <w:t>teplé v</w:t>
      </w:r>
      <w:r w:rsidRPr="00FD72BB">
        <w:t xml:space="preserve">ody z rozvodu nebo jiných ztrát, které způsobí, že zpětná voda nebude odpovídat množství vody dodané, vzniká Dodavateli právo požadovat po Odběrateli smluvní pokutu ve výši dvojnásobku ceny za odběr </w:t>
      </w:r>
      <w:proofErr w:type="spellStart"/>
      <w:r w:rsidRPr="00FD72BB">
        <w:t>demi</w:t>
      </w:r>
      <w:proofErr w:type="spellEnd"/>
      <w:r w:rsidRPr="00FD72BB">
        <w:t xml:space="preserve"> vody pro doplňování topného </w:t>
      </w:r>
      <w:r w:rsidRPr="00FD72BB">
        <w:lastRenderedPageBreak/>
        <w:t>systému vč. ceny tepla pro její ohřev. Odběratel je povinen Dodavateli tuto smluvní pokutu, na základě jejího vyúčtování, Dodavateli zaplatit.</w:t>
      </w:r>
    </w:p>
    <w:p w:rsidR="00916589" w:rsidRPr="00F47AFA" w:rsidRDefault="00916589" w:rsidP="00916589">
      <w:pPr>
        <w:pStyle w:val="Nadpis4"/>
        <w:tabs>
          <w:tab w:val="clear" w:pos="680"/>
        </w:tabs>
      </w:pPr>
      <w:r w:rsidRPr="00F47AFA">
        <w:t>Doba platnosti smlouvy</w:t>
      </w:r>
    </w:p>
    <w:p w:rsidR="00916589" w:rsidRPr="00E153D9" w:rsidRDefault="00916589" w:rsidP="00916589">
      <w:pPr>
        <w:pStyle w:val="Nadpis2"/>
        <w:autoSpaceDE w:val="0"/>
        <w:autoSpaceDN w:val="0"/>
        <w:spacing w:after="120"/>
        <w:ind w:left="709" w:hanging="709"/>
        <w:jc w:val="both"/>
        <w:rPr>
          <w:rFonts w:cs="Tahoma"/>
          <w:sz w:val="20"/>
        </w:rPr>
      </w:pPr>
      <w:proofErr w:type="gramStart"/>
      <w:r>
        <w:rPr>
          <w:rFonts w:cs="Tahoma"/>
          <w:sz w:val="20"/>
        </w:rPr>
        <w:t>VII.1.</w:t>
      </w:r>
      <w:r>
        <w:rPr>
          <w:rFonts w:cs="Tahoma"/>
          <w:sz w:val="20"/>
        </w:rPr>
        <w:tab/>
      </w:r>
      <w:r w:rsidRPr="00E153D9">
        <w:rPr>
          <w:rFonts w:cs="Tahoma"/>
          <w:sz w:val="20"/>
        </w:rPr>
        <w:t>Tato</w:t>
      </w:r>
      <w:proofErr w:type="gramEnd"/>
      <w:r w:rsidRPr="00E153D9">
        <w:rPr>
          <w:rFonts w:cs="Tahoma"/>
          <w:sz w:val="20"/>
        </w:rPr>
        <w:t xml:space="preserve"> smlouva nabývá platnosti a účinnosti dnem jejího podpisu oběma smluvními stranami.  Dnem zahájení dodávek </w:t>
      </w:r>
      <w:r>
        <w:rPr>
          <w:rFonts w:cs="Tahoma"/>
          <w:sz w:val="20"/>
        </w:rPr>
        <w:t>TE</w:t>
      </w:r>
      <w:r w:rsidRPr="00E153D9">
        <w:rPr>
          <w:rFonts w:cs="Tahoma"/>
          <w:sz w:val="20"/>
        </w:rPr>
        <w:t xml:space="preserve"> je datum </w:t>
      </w:r>
      <w:r>
        <w:rPr>
          <w:rFonts w:cs="Tahoma"/>
          <w:b/>
          <w:sz w:val="20"/>
        </w:rPr>
        <w:t xml:space="preserve">1. </w:t>
      </w:r>
      <w:r w:rsidR="003B4931">
        <w:rPr>
          <w:rFonts w:cs="Tahoma"/>
          <w:b/>
          <w:sz w:val="20"/>
        </w:rPr>
        <w:t>7. 2016</w:t>
      </w:r>
      <w:r>
        <w:rPr>
          <w:rFonts w:cs="Tahoma"/>
          <w:b/>
          <w:sz w:val="20"/>
        </w:rPr>
        <w:t>.</w:t>
      </w:r>
    </w:p>
    <w:p w:rsidR="00916589" w:rsidRDefault="00916589" w:rsidP="00916589">
      <w:pPr>
        <w:spacing w:after="120"/>
        <w:jc w:val="both"/>
        <w:rPr>
          <w:strike/>
        </w:rPr>
      </w:pPr>
      <w:proofErr w:type="gramStart"/>
      <w:r>
        <w:rPr>
          <w:rFonts w:cs="Tahoma"/>
        </w:rPr>
        <w:t>VII.2.</w:t>
      </w:r>
      <w:r>
        <w:rPr>
          <w:rFonts w:cs="Tahoma"/>
        </w:rPr>
        <w:tab/>
      </w:r>
      <w:r w:rsidRPr="00E153D9">
        <w:rPr>
          <w:rFonts w:cs="Tahoma"/>
        </w:rPr>
        <w:t>Tato</w:t>
      </w:r>
      <w:proofErr w:type="gramEnd"/>
      <w:r w:rsidRPr="00E153D9">
        <w:rPr>
          <w:rFonts w:cs="Tahoma"/>
        </w:rPr>
        <w:t xml:space="preserve"> smlouva se uzavírá na dobu neurčitou.</w:t>
      </w:r>
    </w:p>
    <w:p w:rsidR="00916589" w:rsidRPr="00F47AFA" w:rsidRDefault="00916589" w:rsidP="00916589">
      <w:pPr>
        <w:pStyle w:val="Nadpis4"/>
        <w:tabs>
          <w:tab w:val="clear" w:pos="680"/>
        </w:tabs>
      </w:pPr>
      <w:r>
        <w:t>součásti smlouvy</w:t>
      </w:r>
    </w:p>
    <w:p w:rsidR="00916589" w:rsidRPr="001B7993" w:rsidRDefault="00916589" w:rsidP="00916589">
      <w:pPr>
        <w:pStyle w:val="Nadpis2"/>
        <w:autoSpaceDE w:val="0"/>
        <w:autoSpaceDN w:val="0"/>
        <w:adjustRightInd w:val="0"/>
        <w:spacing w:after="120"/>
        <w:ind w:left="709" w:hanging="709"/>
        <w:jc w:val="both"/>
        <w:rPr>
          <w:rFonts w:cs="Tahoma"/>
          <w:sz w:val="20"/>
        </w:rPr>
      </w:pPr>
      <w:proofErr w:type="gramStart"/>
      <w:r>
        <w:rPr>
          <w:rFonts w:cs="Tahoma"/>
          <w:sz w:val="20"/>
        </w:rPr>
        <w:t>VIII.1.</w:t>
      </w:r>
      <w:r>
        <w:rPr>
          <w:rFonts w:cs="Tahoma"/>
          <w:sz w:val="20"/>
        </w:rPr>
        <w:tab/>
      </w:r>
      <w:r w:rsidRPr="00FC6A81">
        <w:rPr>
          <w:rFonts w:cs="Tahoma"/>
          <w:sz w:val="20"/>
        </w:rPr>
        <w:t>Nedílnou</w:t>
      </w:r>
      <w:proofErr w:type="gramEnd"/>
      <w:r w:rsidRPr="00FC6A81">
        <w:rPr>
          <w:rFonts w:cs="Tahoma"/>
          <w:sz w:val="20"/>
        </w:rPr>
        <w:t xml:space="preserve"> součástí této smlouvy jsou „</w:t>
      </w:r>
      <w:r w:rsidRPr="00FC6A81">
        <w:rPr>
          <w:rFonts w:cs="Tahoma"/>
          <w:b/>
          <w:bCs/>
          <w:color w:val="000000"/>
          <w:sz w:val="20"/>
        </w:rPr>
        <w:t>VŠEOBECNÉ OBCHODNÍ PODMÍNKY SPOLEČNOSTI ENERGETIKA T</w:t>
      </w:r>
      <w:r>
        <w:rPr>
          <w:rFonts w:cs="Tahoma"/>
          <w:b/>
          <w:bCs/>
          <w:color w:val="000000"/>
          <w:sz w:val="20"/>
        </w:rPr>
        <w:t>ŘINEC, a.s., pro dodávky energií</w:t>
      </w:r>
      <w:r w:rsidRPr="00FC6A81">
        <w:rPr>
          <w:rFonts w:cs="Tahoma"/>
          <w:b/>
          <w:bCs/>
          <w:color w:val="000000"/>
          <w:sz w:val="20"/>
        </w:rPr>
        <w:t xml:space="preserve"> a poskytování služeb s těmito dodávkami spojených</w:t>
      </w:r>
      <w:r w:rsidRPr="00FC6A81">
        <w:rPr>
          <w:rFonts w:cs="Tahoma"/>
          <w:bCs/>
          <w:color w:val="000000"/>
          <w:sz w:val="20"/>
        </w:rPr>
        <w:t>“</w:t>
      </w:r>
      <w:r w:rsidRPr="00FC6A81">
        <w:rPr>
          <w:rFonts w:cs="Tahoma"/>
          <w:sz w:val="20"/>
        </w:rPr>
        <w:t>, v jejich znění dostupném na webových stránkách Dodavatele v oddíle „</w:t>
      </w:r>
      <w:r w:rsidRPr="001B7993">
        <w:rPr>
          <w:rFonts w:cs="Tahoma"/>
          <w:sz w:val="20"/>
        </w:rPr>
        <w:t>Ke stažení“ v kapitole „</w:t>
      </w:r>
      <w:proofErr w:type="spellStart"/>
      <w:r w:rsidRPr="001B7993">
        <w:rPr>
          <w:rFonts w:cs="Tahoma"/>
          <w:sz w:val="20"/>
        </w:rPr>
        <w:t>Info</w:t>
      </w:r>
      <w:proofErr w:type="spellEnd"/>
      <w:r w:rsidRPr="001B7993">
        <w:rPr>
          <w:rFonts w:cs="Tahoma"/>
          <w:sz w:val="20"/>
        </w:rPr>
        <w:t xml:space="preserve"> pro odběratele“ (dále též </w:t>
      </w:r>
      <w:r w:rsidRPr="001B7993">
        <w:rPr>
          <w:rFonts w:cs="Tahoma"/>
          <w:b/>
          <w:sz w:val="20"/>
        </w:rPr>
        <w:t>„VOP“</w:t>
      </w:r>
      <w:r w:rsidRPr="001B7993">
        <w:rPr>
          <w:rFonts w:cs="Tahoma"/>
          <w:sz w:val="20"/>
        </w:rPr>
        <w:t>).</w:t>
      </w:r>
    </w:p>
    <w:p w:rsidR="00916589" w:rsidRPr="001B7993" w:rsidRDefault="00916589" w:rsidP="00916589">
      <w:pPr>
        <w:ind w:left="709" w:hanging="709"/>
        <w:jc w:val="both"/>
        <w:rPr>
          <w:rFonts w:cs="Tahoma"/>
        </w:rPr>
      </w:pPr>
      <w:proofErr w:type="gramStart"/>
      <w:r w:rsidRPr="001B7993">
        <w:rPr>
          <w:rFonts w:cs="Tahoma"/>
        </w:rPr>
        <w:t>VIII.2.</w:t>
      </w:r>
      <w:r w:rsidRPr="001B7993">
        <w:rPr>
          <w:rFonts w:cs="Tahoma"/>
        </w:rPr>
        <w:tab/>
        <w:t>Nedílnou</w:t>
      </w:r>
      <w:proofErr w:type="gramEnd"/>
      <w:r w:rsidRPr="001B7993">
        <w:rPr>
          <w:rFonts w:cs="Tahoma"/>
        </w:rPr>
        <w:t xml:space="preserve"> součástí této smlouvy jsou </w:t>
      </w:r>
    </w:p>
    <w:p w:rsidR="00916589" w:rsidRPr="001B7993" w:rsidRDefault="00916589" w:rsidP="00916589">
      <w:pPr>
        <w:ind w:left="709" w:hanging="1"/>
        <w:jc w:val="both"/>
        <w:rPr>
          <w:rFonts w:cs="Tahoma"/>
          <w:b/>
        </w:rPr>
      </w:pPr>
      <w:r w:rsidRPr="001B7993">
        <w:rPr>
          <w:rFonts w:cs="Tahoma"/>
          <w:b/>
        </w:rPr>
        <w:t>„Technické a dodací podmínky pro dodávku a odběr tepla v teplé vodě“,</w:t>
      </w:r>
    </w:p>
    <w:p w:rsidR="00916589" w:rsidRPr="001B7993" w:rsidRDefault="00916589" w:rsidP="00916589">
      <w:pPr>
        <w:ind w:left="709" w:hanging="1"/>
        <w:jc w:val="both"/>
        <w:rPr>
          <w:rFonts w:cs="Tahoma"/>
          <w:b/>
        </w:rPr>
      </w:pPr>
      <w:r w:rsidRPr="001B7993">
        <w:rPr>
          <w:rFonts w:cs="Tahoma"/>
          <w:b/>
        </w:rPr>
        <w:t>„Technické a dodací podmínky pro dodávku a odběr teplé užitkové vody“,</w:t>
      </w:r>
    </w:p>
    <w:p w:rsidR="00916589" w:rsidRPr="00D43FDC" w:rsidRDefault="00916589" w:rsidP="00916589">
      <w:pPr>
        <w:ind w:left="709" w:hanging="1"/>
        <w:jc w:val="both"/>
        <w:rPr>
          <w:rFonts w:cs="Tahoma"/>
          <w:b/>
          <w:color w:val="FF0000"/>
        </w:rPr>
      </w:pPr>
      <w:r w:rsidRPr="001B7993">
        <w:rPr>
          <w:rFonts w:cs="Tahoma"/>
          <w:b/>
        </w:rPr>
        <w:t>„Technické a dodací podmínky pro dodávku a odběr demineralizované vody“,</w:t>
      </w:r>
    </w:p>
    <w:p w:rsidR="00916589" w:rsidRDefault="00916589" w:rsidP="00916589">
      <w:pPr>
        <w:ind w:left="709" w:hanging="1"/>
        <w:jc w:val="both"/>
        <w:rPr>
          <w:rFonts w:cs="Tahoma"/>
          <w:b/>
        </w:rPr>
      </w:pPr>
    </w:p>
    <w:p w:rsidR="00916589" w:rsidRPr="00C13D0D" w:rsidRDefault="00916589" w:rsidP="00916589">
      <w:pPr>
        <w:ind w:left="709" w:hanging="1"/>
        <w:jc w:val="both"/>
        <w:rPr>
          <w:rFonts w:cs="Tahoma"/>
        </w:rPr>
      </w:pPr>
      <w:r>
        <w:rPr>
          <w:rFonts w:cs="Tahoma"/>
        </w:rPr>
        <w:t xml:space="preserve">a to vždy </w:t>
      </w:r>
      <w:r w:rsidRPr="00C13D0D">
        <w:rPr>
          <w:rFonts w:cs="Tahoma"/>
        </w:rPr>
        <w:t>v jejich platném znění, dostupném na webových stránkách Dodavatele v oddíle „Ke stažení“ v kapitole „</w:t>
      </w:r>
      <w:proofErr w:type="spellStart"/>
      <w:r w:rsidRPr="00C13D0D">
        <w:rPr>
          <w:rFonts w:cs="Tahoma"/>
        </w:rPr>
        <w:t>Info</w:t>
      </w:r>
      <w:proofErr w:type="spellEnd"/>
      <w:r w:rsidRPr="00C13D0D">
        <w:rPr>
          <w:rFonts w:cs="Tahoma"/>
        </w:rPr>
        <w:t xml:space="preserve"> pro odběratele“</w:t>
      </w:r>
      <w:r>
        <w:rPr>
          <w:rFonts w:cs="Tahoma"/>
        </w:rPr>
        <w:t xml:space="preserve"> </w:t>
      </w:r>
      <w:r w:rsidRPr="00FC6A81">
        <w:rPr>
          <w:rFonts w:cs="Tahoma"/>
        </w:rPr>
        <w:t xml:space="preserve">(dále </w:t>
      </w:r>
      <w:r>
        <w:rPr>
          <w:rFonts w:cs="Tahoma"/>
        </w:rPr>
        <w:t xml:space="preserve">společně </w:t>
      </w:r>
      <w:r w:rsidRPr="00FC6A81">
        <w:rPr>
          <w:rFonts w:cs="Tahoma"/>
        </w:rPr>
        <w:t xml:space="preserve">též </w:t>
      </w:r>
      <w:r w:rsidRPr="00FC6A81">
        <w:rPr>
          <w:rFonts w:cs="Tahoma"/>
          <w:b/>
        </w:rPr>
        <w:t>„</w:t>
      </w:r>
      <w:r>
        <w:rPr>
          <w:rFonts w:cs="Tahoma"/>
          <w:b/>
        </w:rPr>
        <w:t>TDP</w:t>
      </w:r>
      <w:r w:rsidRPr="00FC6A81">
        <w:rPr>
          <w:rFonts w:cs="Tahoma"/>
          <w:b/>
        </w:rPr>
        <w:t>“</w:t>
      </w:r>
      <w:r w:rsidRPr="00FC6A81">
        <w:rPr>
          <w:rFonts w:cs="Tahoma"/>
        </w:rPr>
        <w:t>)</w:t>
      </w:r>
      <w:r w:rsidRPr="00C13D0D">
        <w:rPr>
          <w:rFonts w:cs="Tahoma"/>
        </w:rPr>
        <w:t>.</w:t>
      </w:r>
    </w:p>
    <w:p w:rsidR="00916589" w:rsidRPr="00CB080A" w:rsidRDefault="00916589" w:rsidP="00916589">
      <w:pPr>
        <w:ind w:left="709"/>
        <w:rPr>
          <w:rFonts w:cs="Tahoma"/>
        </w:rPr>
      </w:pPr>
    </w:p>
    <w:p w:rsidR="00916589" w:rsidRDefault="00916589" w:rsidP="006E1F9C">
      <w:pPr>
        <w:keepLines/>
        <w:spacing w:after="120"/>
        <w:ind w:left="709" w:hanging="709"/>
        <w:jc w:val="both"/>
        <w:rPr>
          <w:strike/>
        </w:rPr>
      </w:pPr>
      <w:proofErr w:type="gramStart"/>
      <w:r>
        <w:rPr>
          <w:rFonts w:cs="Tahoma"/>
        </w:rPr>
        <w:t>VIII.3.</w:t>
      </w:r>
      <w:r>
        <w:rPr>
          <w:rFonts w:cs="Tahoma"/>
        </w:rPr>
        <w:tab/>
      </w:r>
      <w:r w:rsidRPr="00CB080A">
        <w:rPr>
          <w:rFonts w:cs="Tahoma"/>
        </w:rPr>
        <w:t>Dodavatel</w:t>
      </w:r>
      <w:proofErr w:type="gramEnd"/>
      <w:r w:rsidRPr="00CB080A">
        <w:rPr>
          <w:rFonts w:cs="Tahoma"/>
        </w:rPr>
        <w:t xml:space="preserve"> i Odběratel shodně konstatují, že VOP </w:t>
      </w:r>
      <w:r>
        <w:rPr>
          <w:rFonts w:cs="Tahoma"/>
        </w:rPr>
        <w:t xml:space="preserve">i TDP </w:t>
      </w:r>
      <w:r w:rsidRPr="00CB080A">
        <w:rPr>
          <w:rFonts w:cs="Tahoma"/>
        </w:rPr>
        <w:t xml:space="preserve">mají charakter obchodních podmínek Dodavatele ve smyslu </w:t>
      </w:r>
      <w:proofErr w:type="spellStart"/>
      <w:r w:rsidRPr="00CB080A">
        <w:rPr>
          <w:rFonts w:cs="Tahoma"/>
        </w:rPr>
        <w:t>ust</w:t>
      </w:r>
      <w:proofErr w:type="spellEnd"/>
      <w:r w:rsidRPr="00CB080A">
        <w:rPr>
          <w:rFonts w:cs="Tahoma"/>
        </w:rPr>
        <w:t xml:space="preserve">. § 1751 občanského zákoníku, a jako takové dotvářejí obsah této smlouvy. Odběratel podpisem této smlouvy prohlašuje a potvrzuje, že se před uzavřením této smlouvy se zněním VOP </w:t>
      </w:r>
      <w:r>
        <w:rPr>
          <w:rFonts w:cs="Tahoma"/>
        </w:rPr>
        <w:t xml:space="preserve">i TDP </w:t>
      </w:r>
      <w:r w:rsidRPr="00CB080A">
        <w:rPr>
          <w:rFonts w:cs="Tahoma"/>
        </w:rPr>
        <w:t>seznámil, že je mu jejich obsah znám, že jejich obsahu plně porozuměl a že neobsahuje žádná ustanovení, která nemohl rozumně očekávat.</w:t>
      </w:r>
    </w:p>
    <w:p w:rsidR="00916589" w:rsidRPr="0059650E" w:rsidRDefault="00916589" w:rsidP="00916589">
      <w:pPr>
        <w:pStyle w:val="Nadpis4"/>
        <w:tabs>
          <w:tab w:val="clear" w:pos="680"/>
          <w:tab w:val="num" w:pos="3941"/>
        </w:tabs>
      </w:pPr>
      <w:r>
        <w:t xml:space="preserve">  </w:t>
      </w:r>
      <w:r w:rsidRPr="0059650E">
        <w:t>odpovědné osoby</w:t>
      </w:r>
    </w:p>
    <w:p w:rsidR="00916589" w:rsidRPr="00A05764" w:rsidRDefault="00916589" w:rsidP="00916589">
      <w:pPr>
        <w:pStyle w:val="Nadpis3"/>
        <w:keepNext w:val="0"/>
        <w:spacing w:after="60"/>
        <w:ind w:left="709" w:hanging="709"/>
        <w:jc w:val="both"/>
        <w:rPr>
          <w:rFonts w:cs="Tahoma"/>
          <w:b w:val="0"/>
        </w:rPr>
      </w:pPr>
      <w:proofErr w:type="gramStart"/>
      <w:r>
        <w:rPr>
          <w:rFonts w:cs="Tahoma"/>
          <w:b w:val="0"/>
        </w:rPr>
        <w:t>IX.1.</w:t>
      </w:r>
      <w:r>
        <w:rPr>
          <w:rFonts w:cs="Tahoma"/>
          <w:b w:val="0"/>
        </w:rPr>
        <w:tab/>
      </w:r>
      <w:r w:rsidRPr="00A05764">
        <w:rPr>
          <w:rFonts w:cs="Tahoma"/>
          <w:b w:val="0"/>
        </w:rPr>
        <w:t>Odpovědnými</w:t>
      </w:r>
      <w:proofErr w:type="gramEnd"/>
      <w:r w:rsidRPr="00A05764">
        <w:rPr>
          <w:rFonts w:cs="Tahoma"/>
          <w:b w:val="0"/>
        </w:rPr>
        <w:t xml:space="preserve"> osobami </w:t>
      </w:r>
      <w:r>
        <w:rPr>
          <w:rFonts w:cs="Tahoma"/>
          <w:b w:val="0"/>
        </w:rPr>
        <w:t>Dodavatele a Odběratele</w:t>
      </w:r>
      <w:r w:rsidRPr="00A05764">
        <w:rPr>
          <w:rFonts w:cs="Tahoma"/>
          <w:b w:val="0"/>
        </w:rPr>
        <w:t xml:space="preserve"> jsou:</w:t>
      </w:r>
    </w:p>
    <w:p w:rsidR="00916589" w:rsidRPr="00A05764" w:rsidRDefault="00916589" w:rsidP="00916589">
      <w:pPr>
        <w:pStyle w:val="Nadpis3"/>
        <w:keepNext w:val="0"/>
        <w:ind w:left="709" w:hanging="709"/>
        <w:jc w:val="both"/>
        <w:rPr>
          <w:rFonts w:cs="Tahoma"/>
          <w:b w:val="0"/>
        </w:rPr>
      </w:pPr>
      <w:r>
        <w:rPr>
          <w:rFonts w:cs="Tahoma"/>
          <w:b w:val="0"/>
        </w:rPr>
        <w:t xml:space="preserve">     </w:t>
      </w:r>
      <w:r>
        <w:rPr>
          <w:rFonts w:cs="Tahoma"/>
          <w:b w:val="0"/>
        </w:rPr>
        <w:tab/>
        <w:t xml:space="preserve"> </w:t>
      </w:r>
      <w:proofErr w:type="gramStart"/>
      <w:r>
        <w:rPr>
          <w:rFonts w:cs="Tahoma"/>
          <w:b w:val="0"/>
        </w:rPr>
        <w:t>IX</w:t>
      </w:r>
      <w:proofErr w:type="gramEnd"/>
      <w:r>
        <w:rPr>
          <w:rFonts w:cs="Tahoma"/>
          <w:b w:val="0"/>
        </w:rPr>
        <w:t>.</w:t>
      </w:r>
      <w:proofErr w:type="gramStart"/>
      <w:r>
        <w:rPr>
          <w:rFonts w:cs="Tahoma"/>
          <w:b w:val="0"/>
        </w:rPr>
        <w:t>1.1</w:t>
      </w:r>
      <w:proofErr w:type="gramEnd"/>
      <w:r>
        <w:rPr>
          <w:rFonts w:cs="Tahoma"/>
          <w:b w:val="0"/>
        </w:rPr>
        <w:t>.</w:t>
      </w:r>
      <w:r>
        <w:rPr>
          <w:rFonts w:cs="Tahoma"/>
          <w:b w:val="0"/>
        </w:rPr>
        <w:tab/>
      </w:r>
      <w:r w:rsidRPr="00A05764">
        <w:rPr>
          <w:rFonts w:cs="Tahoma"/>
          <w:b w:val="0"/>
        </w:rPr>
        <w:t xml:space="preserve">Za </w:t>
      </w:r>
      <w:r>
        <w:rPr>
          <w:rFonts w:cs="Tahoma"/>
          <w:b w:val="0"/>
        </w:rPr>
        <w:t>Dodavatele</w:t>
      </w:r>
      <w:r w:rsidRPr="00A05764">
        <w:rPr>
          <w:rFonts w:cs="Tahoma"/>
          <w:b w:val="0"/>
        </w:rPr>
        <w:t>:</w:t>
      </w:r>
      <w:r w:rsidRPr="002A2C3F">
        <w:tab/>
      </w:r>
    </w:p>
    <w:p w:rsidR="00916589" w:rsidRPr="00071524" w:rsidRDefault="00916589" w:rsidP="00916589">
      <w:pPr>
        <w:ind w:left="709" w:firstLine="707"/>
        <w:rPr>
          <w:u w:val="single"/>
        </w:rPr>
      </w:pPr>
      <w:r w:rsidRPr="00071524">
        <w:rPr>
          <w:u w:val="single"/>
        </w:rPr>
        <w:t>v obchodních záležitostech:</w:t>
      </w:r>
    </w:p>
    <w:p w:rsidR="00916589" w:rsidRPr="00FE31DD" w:rsidRDefault="00916589" w:rsidP="00916589">
      <w:pPr>
        <w:ind w:left="709" w:firstLine="707"/>
      </w:pPr>
      <w:r w:rsidRPr="00FE31DD">
        <w:tab/>
      </w:r>
      <w:r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proofErr w:type="gramStart"/>
      <w:r w:rsidRPr="00FE31DD">
        <w:t>č.t.</w:t>
      </w:r>
      <w:proofErr w:type="gramEnd"/>
      <w:r w:rsidRPr="00FE31DD">
        <w:t xml:space="preserve">: </w:t>
      </w:r>
      <w:r w:rsidRPr="00FE31DD">
        <w:tab/>
      </w:r>
    </w:p>
    <w:p w:rsidR="00916589" w:rsidRPr="009122A4" w:rsidRDefault="00916589" w:rsidP="00916589">
      <w:pPr>
        <w:ind w:left="709" w:hanging="709"/>
      </w:pPr>
      <w:r w:rsidRPr="00FE31DD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e-mail: </w:t>
      </w:r>
    </w:p>
    <w:p w:rsidR="00916589" w:rsidRPr="009122A4" w:rsidRDefault="00916589" w:rsidP="00916589">
      <w:pPr>
        <w:ind w:left="709" w:firstLine="707"/>
      </w:pPr>
      <w:r w:rsidRPr="009122A4">
        <w:tab/>
      </w:r>
      <w:r w:rsidRPr="009122A4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proofErr w:type="gramStart"/>
      <w:r w:rsidRPr="009122A4">
        <w:rPr>
          <w:rFonts w:hint="eastAsia"/>
        </w:rPr>
        <w:t>č</w:t>
      </w:r>
      <w:r w:rsidRPr="009122A4">
        <w:t>.t.</w:t>
      </w:r>
      <w:proofErr w:type="gramEnd"/>
      <w:r w:rsidRPr="009122A4">
        <w:t xml:space="preserve"> </w:t>
      </w:r>
      <w:r w:rsidRPr="009122A4">
        <w:tab/>
      </w:r>
    </w:p>
    <w:p w:rsidR="00916589" w:rsidRPr="009122A4" w:rsidRDefault="00916589" w:rsidP="00916589">
      <w:pPr>
        <w:ind w:left="709" w:hanging="709"/>
      </w:pP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e-mail: </w:t>
      </w:r>
    </w:p>
    <w:p w:rsidR="00916589" w:rsidRPr="009122A4" w:rsidRDefault="00916589" w:rsidP="00916589">
      <w:pPr>
        <w:ind w:left="709" w:firstLine="707"/>
        <w:rPr>
          <w:u w:val="single"/>
        </w:rPr>
      </w:pPr>
      <w:r w:rsidRPr="009122A4">
        <w:rPr>
          <w:u w:val="single"/>
        </w:rPr>
        <w:t>v technických záležitostech:</w:t>
      </w:r>
    </w:p>
    <w:p w:rsidR="00916589" w:rsidRPr="009122A4" w:rsidRDefault="00916589" w:rsidP="00916589">
      <w:pPr>
        <w:ind w:left="709" w:firstLine="707"/>
      </w:pPr>
      <w:r w:rsidRPr="009122A4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proofErr w:type="gramStart"/>
      <w:r w:rsidRPr="009122A4">
        <w:rPr>
          <w:rFonts w:hint="eastAsia"/>
        </w:rPr>
        <w:t>č</w:t>
      </w:r>
      <w:r w:rsidRPr="009122A4">
        <w:t>.t.</w:t>
      </w:r>
      <w:proofErr w:type="gramEnd"/>
      <w:r w:rsidRPr="009122A4">
        <w:t xml:space="preserve">: </w:t>
      </w:r>
      <w:r w:rsidRPr="009122A4">
        <w:tab/>
      </w:r>
    </w:p>
    <w:p w:rsidR="00916589" w:rsidRPr="009122A4" w:rsidRDefault="00916589" w:rsidP="00916589">
      <w:pPr>
        <w:ind w:left="709" w:hanging="709"/>
      </w:pPr>
      <w:r w:rsidRPr="009122A4">
        <w:t xml:space="preserve">    </w:t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proofErr w:type="spellStart"/>
      <w:proofErr w:type="gramStart"/>
      <w:r w:rsidRPr="009122A4">
        <w:t>fax</w:t>
      </w:r>
      <w:proofErr w:type="gramEnd"/>
      <w:r w:rsidRPr="009122A4">
        <w:t>.</w:t>
      </w:r>
      <w:proofErr w:type="gramStart"/>
      <w:r w:rsidRPr="009122A4">
        <w:rPr>
          <w:rFonts w:hint="eastAsia"/>
        </w:rPr>
        <w:t>č</w:t>
      </w:r>
      <w:proofErr w:type="spellEnd"/>
      <w:r w:rsidRPr="009122A4">
        <w:t>.</w:t>
      </w:r>
      <w:proofErr w:type="gramEnd"/>
      <w:r w:rsidRPr="009122A4">
        <w:t xml:space="preserve">: </w:t>
      </w:r>
      <w:r w:rsidRPr="009122A4">
        <w:tab/>
      </w:r>
    </w:p>
    <w:p w:rsidR="00916589" w:rsidRPr="009122A4" w:rsidRDefault="00916589" w:rsidP="00916589">
      <w:pPr>
        <w:ind w:left="709" w:hanging="709"/>
      </w:pPr>
      <w:r w:rsidRPr="009122A4">
        <w:t xml:space="preserve">    </w:t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mobil </w:t>
      </w:r>
      <w:r w:rsidRPr="009122A4">
        <w:rPr>
          <w:rFonts w:hint="eastAsia"/>
        </w:rPr>
        <w:t>č</w:t>
      </w:r>
      <w:r w:rsidRPr="009122A4">
        <w:t xml:space="preserve">.: </w:t>
      </w:r>
    </w:p>
    <w:p w:rsidR="00916589" w:rsidRPr="009122A4" w:rsidRDefault="00916589" w:rsidP="00916589">
      <w:pPr>
        <w:ind w:left="709" w:hanging="709"/>
      </w:pPr>
      <w:r w:rsidRPr="009122A4">
        <w:t xml:space="preserve">  </w:t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>e-mail:</w:t>
      </w:r>
      <w:r w:rsidRPr="009122A4">
        <w:tab/>
      </w:r>
    </w:p>
    <w:p w:rsidR="00916589" w:rsidRPr="009122A4" w:rsidRDefault="00916589" w:rsidP="00916589">
      <w:pPr>
        <w:ind w:left="709" w:firstLine="707"/>
      </w:pPr>
      <w:r w:rsidRPr="009122A4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proofErr w:type="gramStart"/>
      <w:r w:rsidRPr="009122A4">
        <w:rPr>
          <w:rFonts w:hint="eastAsia"/>
        </w:rPr>
        <w:t>č</w:t>
      </w:r>
      <w:r w:rsidRPr="009122A4">
        <w:t>.t.</w:t>
      </w:r>
      <w:proofErr w:type="gramEnd"/>
      <w:r w:rsidRPr="009122A4">
        <w:t xml:space="preserve">: </w:t>
      </w:r>
      <w:r w:rsidRPr="009122A4">
        <w:tab/>
      </w:r>
    </w:p>
    <w:p w:rsidR="00916589" w:rsidRPr="009122A4" w:rsidRDefault="00916589" w:rsidP="00916589">
      <w:pPr>
        <w:ind w:left="709" w:hanging="709"/>
      </w:pPr>
      <w:r w:rsidRPr="009122A4">
        <w:t xml:space="preserve">    </w:t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mobil </w:t>
      </w:r>
      <w:r w:rsidRPr="009122A4">
        <w:rPr>
          <w:rFonts w:hint="eastAsia"/>
        </w:rPr>
        <w:t>č</w:t>
      </w:r>
      <w:r w:rsidRPr="009122A4">
        <w:t xml:space="preserve">.: </w:t>
      </w:r>
    </w:p>
    <w:p w:rsidR="00916589" w:rsidRPr="009122A4" w:rsidRDefault="00916589" w:rsidP="00916589">
      <w:pPr>
        <w:ind w:left="709" w:hanging="709"/>
      </w:pP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e-mail: </w:t>
      </w:r>
    </w:p>
    <w:p w:rsidR="00916589" w:rsidRPr="009122A4" w:rsidRDefault="00916589" w:rsidP="00916589">
      <w:pPr>
        <w:ind w:left="709" w:firstLine="707"/>
      </w:pPr>
      <w:r w:rsidRPr="009122A4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r w:rsidR="00D7571C">
        <w:tab/>
      </w:r>
      <w:proofErr w:type="gramStart"/>
      <w:r w:rsidRPr="009122A4">
        <w:rPr>
          <w:rFonts w:hint="eastAsia"/>
        </w:rPr>
        <w:t>č</w:t>
      </w:r>
      <w:r w:rsidRPr="009122A4">
        <w:t>.t.</w:t>
      </w:r>
      <w:proofErr w:type="gramEnd"/>
      <w:r w:rsidRPr="009122A4">
        <w:t xml:space="preserve">: </w:t>
      </w:r>
      <w:r w:rsidRPr="009122A4">
        <w:tab/>
      </w:r>
    </w:p>
    <w:p w:rsidR="00916589" w:rsidRPr="009122A4" w:rsidRDefault="00916589" w:rsidP="00916589">
      <w:pPr>
        <w:ind w:left="709" w:hanging="709"/>
      </w:pP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mobil </w:t>
      </w:r>
      <w:r w:rsidRPr="009122A4">
        <w:rPr>
          <w:rFonts w:hint="eastAsia"/>
        </w:rPr>
        <w:t>č</w:t>
      </w:r>
      <w:r w:rsidRPr="009122A4">
        <w:t xml:space="preserve">.: </w:t>
      </w:r>
    </w:p>
    <w:p w:rsidR="00916589" w:rsidRPr="009122A4" w:rsidRDefault="00916589" w:rsidP="00916589">
      <w:pPr>
        <w:ind w:left="709" w:hanging="709"/>
      </w:pP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</w:r>
      <w:r w:rsidRPr="009122A4">
        <w:tab/>
        <w:t xml:space="preserve">e-mail: </w:t>
      </w:r>
    </w:p>
    <w:p w:rsidR="00916589" w:rsidRPr="009122A4" w:rsidRDefault="00916589" w:rsidP="00916589">
      <w:pPr>
        <w:pStyle w:val="Nadpis3"/>
        <w:keepNext w:val="0"/>
        <w:ind w:left="709" w:firstLine="707"/>
        <w:jc w:val="both"/>
        <w:rPr>
          <w:rFonts w:cs="Tahoma"/>
          <w:b w:val="0"/>
        </w:rPr>
      </w:pPr>
      <w:r w:rsidRPr="009122A4">
        <w:rPr>
          <w:b w:val="0"/>
        </w:rPr>
        <w:t>dispe</w:t>
      </w:r>
      <w:r w:rsidRPr="009122A4">
        <w:rPr>
          <w:rFonts w:hint="eastAsia"/>
          <w:b w:val="0"/>
        </w:rPr>
        <w:t>č</w:t>
      </w:r>
      <w:r w:rsidRPr="009122A4">
        <w:rPr>
          <w:b w:val="0"/>
        </w:rPr>
        <w:t>ink</w:t>
      </w:r>
      <w:r w:rsidRPr="009122A4">
        <w:rPr>
          <w:b w:val="0"/>
        </w:rPr>
        <w:tab/>
      </w:r>
      <w:r w:rsidRPr="009122A4">
        <w:rPr>
          <w:b w:val="0"/>
        </w:rPr>
        <w:tab/>
      </w:r>
      <w:r w:rsidRPr="009122A4">
        <w:rPr>
          <w:b w:val="0"/>
        </w:rPr>
        <w:tab/>
        <w:t xml:space="preserve">                      </w:t>
      </w:r>
      <w:r w:rsidRPr="009122A4">
        <w:rPr>
          <w:b w:val="0"/>
        </w:rPr>
        <w:tab/>
      </w:r>
      <w:r w:rsidRPr="009122A4">
        <w:rPr>
          <w:b w:val="0"/>
        </w:rPr>
        <w:tab/>
      </w:r>
      <w:proofErr w:type="gramStart"/>
      <w:r w:rsidRPr="009122A4">
        <w:rPr>
          <w:rFonts w:hint="eastAsia"/>
          <w:b w:val="0"/>
        </w:rPr>
        <w:t>č</w:t>
      </w:r>
      <w:r w:rsidRPr="009122A4">
        <w:rPr>
          <w:b w:val="0"/>
        </w:rPr>
        <w:t>.t.</w:t>
      </w:r>
      <w:proofErr w:type="gramEnd"/>
      <w:r w:rsidRPr="009122A4">
        <w:rPr>
          <w:b w:val="0"/>
        </w:rPr>
        <w:t xml:space="preserve">: </w:t>
      </w:r>
      <w:r w:rsidRPr="009122A4">
        <w:rPr>
          <w:b w:val="0"/>
        </w:rPr>
        <w:tab/>
      </w:r>
      <w:r w:rsidRPr="009122A4">
        <w:rPr>
          <w:rFonts w:cs="Tahoma"/>
          <w:b w:val="0"/>
        </w:rPr>
        <w:t xml:space="preserve"> </w:t>
      </w:r>
    </w:p>
    <w:p w:rsidR="00916589" w:rsidRPr="009122A4" w:rsidRDefault="00916589" w:rsidP="00916589">
      <w:pPr>
        <w:pStyle w:val="Nadpis3"/>
        <w:keepNext w:val="0"/>
        <w:ind w:left="709" w:hanging="709"/>
        <w:jc w:val="both"/>
        <w:rPr>
          <w:rFonts w:cs="Tahoma"/>
          <w:b w:val="0"/>
        </w:rPr>
      </w:pPr>
    </w:p>
    <w:p w:rsidR="00916589" w:rsidRPr="00FD72BB" w:rsidRDefault="00916589" w:rsidP="007C0B0C">
      <w:pPr>
        <w:pStyle w:val="Nadpis3"/>
        <w:ind w:left="709"/>
        <w:jc w:val="both"/>
        <w:rPr>
          <w:rFonts w:cs="Tahoma"/>
          <w:b w:val="0"/>
        </w:rPr>
      </w:pPr>
      <w:proofErr w:type="gramStart"/>
      <w:r w:rsidRPr="00FD72BB">
        <w:rPr>
          <w:rFonts w:cs="Tahoma"/>
          <w:b w:val="0"/>
        </w:rPr>
        <w:lastRenderedPageBreak/>
        <w:t>IX</w:t>
      </w:r>
      <w:proofErr w:type="gramEnd"/>
      <w:r w:rsidRPr="00FD72BB">
        <w:rPr>
          <w:rFonts w:cs="Tahoma"/>
          <w:b w:val="0"/>
        </w:rPr>
        <w:t>.</w:t>
      </w:r>
      <w:proofErr w:type="gramStart"/>
      <w:r w:rsidRPr="00FD72BB">
        <w:rPr>
          <w:rFonts w:cs="Tahoma"/>
          <w:b w:val="0"/>
        </w:rPr>
        <w:t>1.2</w:t>
      </w:r>
      <w:proofErr w:type="gramEnd"/>
      <w:r w:rsidRPr="00FD72BB">
        <w:rPr>
          <w:rFonts w:cs="Tahoma"/>
          <w:b w:val="0"/>
        </w:rPr>
        <w:t>.</w:t>
      </w:r>
      <w:r>
        <w:rPr>
          <w:rFonts w:cs="Tahoma"/>
          <w:b w:val="0"/>
        </w:rPr>
        <w:tab/>
      </w:r>
      <w:r w:rsidRPr="00FD72BB">
        <w:rPr>
          <w:rFonts w:cs="Tahoma"/>
          <w:b w:val="0"/>
        </w:rPr>
        <w:t>Za Odběratele:</w:t>
      </w:r>
    </w:p>
    <w:p w:rsidR="00916589" w:rsidRPr="003B4931" w:rsidRDefault="003B4931" w:rsidP="0054606F">
      <w:pPr>
        <w:keepNext/>
        <w:ind w:left="794" w:firstLine="622"/>
        <w:rPr>
          <w:rFonts w:cs="Tahoma"/>
          <w:u w:val="single"/>
        </w:rPr>
      </w:pPr>
      <w:r w:rsidRPr="003B4931">
        <w:rPr>
          <w:rFonts w:cs="Tahoma"/>
          <w:u w:val="single"/>
        </w:rPr>
        <w:t xml:space="preserve">v obchodních záležitostech: </w:t>
      </w:r>
    </w:p>
    <w:p w:rsidR="00BC1114" w:rsidRDefault="00BC1114" w:rsidP="0054606F">
      <w:pPr>
        <w:keepNext/>
        <w:ind w:left="709" w:firstLine="707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proofErr w:type="gramStart"/>
      <w:r>
        <w:rPr>
          <w:rFonts w:cs="Tahoma"/>
        </w:rPr>
        <w:t>č.t.</w:t>
      </w:r>
      <w:proofErr w:type="gramEnd"/>
      <w:r w:rsidR="0099197D">
        <w:rPr>
          <w:rFonts w:cs="Tahoma"/>
        </w:rPr>
        <w:t xml:space="preserve">:     </w:t>
      </w:r>
    </w:p>
    <w:p w:rsidR="00BC1114" w:rsidRPr="009122A4" w:rsidRDefault="00BC1114" w:rsidP="0054606F">
      <w:pPr>
        <w:keepNext/>
        <w:ind w:left="709" w:hanging="709"/>
        <w:rPr>
          <w:rFonts w:cs="Tahoma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  <w:t>mobil č.:</w:t>
      </w:r>
      <w:r w:rsidR="0099197D" w:rsidRPr="009122A4">
        <w:rPr>
          <w:rFonts w:cs="Tahoma"/>
        </w:rPr>
        <w:t xml:space="preserve"> </w:t>
      </w:r>
    </w:p>
    <w:p w:rsidR="0099197D" w:rsidRPr="009122A4" w:rsidRDefault="00BC1114" w:rsidP="0054606F">
      <w:pPr>
        <w:keepNext/>
        <w:ind w:left="709" w:hanging="709"/>
        <w:rPr>
          <w:rFonts w:cs="Tahoma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  <w:t>e-mail:</w:t>
      </w:r>
      <w:r w:rsidRPr="009122A4">
        <w:rPr>
          <w:rFonts w:cs="Tahoma"/>
        </w:rPr>
        <w:tab/>
      </w:r>
    </w:p>
    <w:p w:rsidR="003B4931" w:rsidRPr="009122A4" w:rsidRDefault="003B4931" w:rsidP="0054606F">
      <w:pPr>
        <w:keepNext/>
        <w:ind w:left="709" w:hanging="709"/>
        <w:rPr>
          <w:rFonts w:cs="Tahoma"/>
          <w:u w:val="single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  <w:u w:val="single"/>
        </w:rPr>
        <w:t>v technických záležitostech:</w:t>
      </w:r>
    </w:p>
    <w:p w:rsidR="003B4931" w:rsidRPr="009122A4" w:rsidRDefault="003B4931" w:rsidP="0054606F">
      <w:pPr>
        <w:ind w:left="709" w:hanging="709"/>
        <w:rPr>
          <w:rFonts w:cs="Tahoma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r w:rsidR="00D7571C">
        <w:rPr>
          <w:rFonts w:cs="Tahoma"/>
        </w:rPr>
        <w:tab/>
      </w:r>
      <w:bookmarkStart w:id="1" w:name="_GoBack"/>
      <w:bookmarkEnd w:id="1"/>
      <w:r w:rsidRPr="009122A4">
        <w:rPr>
          <w:rFonts w:cs="Tahoma"/>
        </w:rPr>
        <w:t xml:space="preserve">č.t.: </w:t>
      </w:r>
      <w:r w:rsidRPr="009122A4">
        <w:rPr>
          <w:rFonts w:cs="Tahoma"/>
        </w:rPr>
        <w:tab/>
      </w:r>
    </w:p>
    <w:p w:rsidR="003B4931" w:rsidRPr="009122A4" w:rsidRDefault="003B4931" w:rsidP="0054606F">
      <w:pPr>
        <w:ind w:left="709" w:hanging="709"/>
        <w:rPr>
          <w:rFonts w:cs="Tahoma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  <w:t xml:space="preserve">mobil č.: </w:t>
      </w:r>
    </w:p>
    <w:p w:rsidR="003B4931" w:rsidRPr="009122A4" w:rsidRDefault="003B4931" w:rsidP="0054606F">
      <w:pPr>
        <w:ind w:left="709" w:hanging="709"/>
        <w:rPr>
          <w:rFonts w:cs="Tahoma"/>
        </w:rPr>
      </w:pP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</w:r>
      <w:r w:rsidRPr="009122A4">
        <w:rPr>
          <w:rFonts w:cs="Tahoma"/>
        </w:rPr>
        <w:tab/>
        <w:t>e-mail:</w:t>
      </w:r>
      <w:r w:rsidRPr="009122A4">
        <w:rPr>
          <w:rFonts w:cs="Tahoma"/>
        </w:rPr>
        <w:tab/>
      </w:r>
    </w:p>
    <w:p w:rsidR="00916589" w:rsidRPr="00F125A1" w:rsidRDefault="00916589" w:rsidP="00916589">
      <w:pPr>
        <w:pStyle w:val="Nadpis4"/>
        <w:tabs>
          <w:tab w:val="clear" w:pos="680"/>
          <w:tab w:val="num" w:pos="3941"/>
        </w:tabs>
      </w:pPr>
      <w:r w:rsidRPr="00F125A1">
        <w:t>závěrečná ustanovení</w:t>
      </w:r>
    </w:p>
    <w:p w:rsidR="00916589" w:rsidRPr="001B7993" w:rsidRDefault="00916589" w:rsidP="00916589">
      <w:pPr>
        <w:pStyle w:val="Nadpis2"/>
        <w:keepNext w:val="0"/>
        <w:spacing w:after="120"/>
        <w:ind w:left="709" w:hanging="709"/>
        <w:jc w:val="both"/>
        <w:rPr>
          <w:rFonts w:cs="Tahoma"/>
          <w:sz w:val="20"/>
        </w:rPr>
      </w:pPr>
      <w:proofErr w:type="gramStart"/>
      <w:r w:rsidRPr="00F125A1">
        <w:rPr>
          <w:rFonts w:cs="Tahoma"/>
          <w:sz w:val="20"/>
        </w:rPr>
        <w:t>X.1.</w:t>
      </w:r>
      <w:r>
        <w:rPr>
          <w:rFonts w:cs="Tahoma"/>
          <w:sz w:val="20"/>
        </w:rPr>
        <w:tab/>
      </w:r>
      <w:r w:rsidRPr="00F125A1">
        <w:rPr>
          <w:rFonts w:cs="Tahoma"/>
          <w:sz w:val="20"/>
        </w:rPr>
        <w:t>Tato</w:t>
      </w:r>
      <w:proofErr w:type="gramEnd"/>
      <w:r w:rsidRPr="00F125A1">
        <w:rPr>
          <w:rFonts w:cs="Tahoma"/>
          <w:sz w:val="20"/>
        </w:rPr>
        <w:t xml:space="preserve"> smlouva se řídí právním řádem České republiky, zejména příslušnými ustanoveními </w:t>
      </w:r>
      <w:r w:rsidRPr="001B7993">
        <w:rPr>
          <w:rFonts w:cs="Tahoma"/>
          <w:sz w:val="20"/>
        </w:rPr>
        <w:t>energetického zákona a jeho prováděcích předpisů, rozhodnutími Energetického regulačního úřadu a ustanoveními zákona č. 89/2012 Sb., občanského zákoníku, v platném znění.</w:t>
      </w:r>
    </w:p>
    <w:p w:rsidR="00916589" w:rsidRPr="001B7993" w:rsidRDefault="00916589" w:rsidP="00916589">
      <w:pPr>
        <w:pStyle w:val="Nadpis2"/>
        <w:keepNext w:val="0"/>
        <w:spacing w:after="120"/>
        <w:ind w:left="709" w:hanging="709"/>
        <w:jc w:val="both"/>
        <w:rPr>
          <w:rFonts w:cs="Tahoma"/>
          <w:sz w:val="20"/>
        </w:rPr>
      </w:pPr>
      <w:proofErr w:type="gramStart"/>
      <w:r w:rsidRPr="001B7993">
        <w:rPr>
          <w:rFonts w:cs="Tahoma"/>
          <w:sz w:val="20"/>
        </w:rPr>
        <w:t>X.</w:t>
      </w:r>
      <w:r w:rsidR="00713206">
        <w:rPr>
          <w:rFonts w:cs="Tahoma"/>
          <w:sz w:val="20"/>
        </w:rPr>
        <w:t>2</w:t>
      </w:r>
      <w:r w:rsidRPr="001B7993">
        <w:rPr>
          <w:rFonts w:cs="Tahoma"/>
          <w:sz w:val="20"/>
        </w:rPr>
        <w:t>.</w:t>
      </w:r>
      <w:r w:rsidRPr="001B7993">
        <w:rPr>
          <w:rFonts w:cs="Tahoma"/>
          <w:sz w:val="20"/>
        </w:rPr>
        <w:tab/>
        <w:t>Tato</w:t>
      </w:r>
      <w:proofErr w:type="gramEnd"/>
      <w:r w:rsidRPr="001B7993">
        <w:rPr>
          <w:rFonts w:cs="Tahoma"/>
          <w:sz w:val="20"/>
        </w:rPr>
        <w:t xml:space="preserve"> smlouva byla vyhotovena ve dvou exemplářích, každý s platností originálu, z nichž každá ze smluvních stran obdrží po jednom vyhotovení.</w:t>
      </w:r>
    </w:p>
    <w:p w:rsidR="00916589" w:rsidRDefault="00713206" w:rsidP="00916589">
      <w:pPr>
        <w:spacing w:after="120"/>
        <w:ind w:left="709" w:hanging="709"/>
        <w:rPr>
          <w:rFonts w:cs="Tahoma"/>
        </w:rPr>
      </w:pPr>
      <w:proofErr w:type="gramStart"/>
      <w:r>
        <w:t>X.3</w:t>
      </w:r>
      <w:r w:rsidR="00916589" w:rsidRPr="001B7993">
        <w:t>.</w:t>
      </w:r>
      <w:r w:rsidR="00916589" w:rsidRPr="001B7993">
        <w:tab/>
        <w:t>O</w:t>
      </w:r>
      <w:r w:rsidR="00916589" w:rsidRPr="001B7993">
        <w:rPr>
          <w:rFonts w:cs="Tahoma"/>
        </w:rPr>
        <w:t>bě</w:t>
      </w:r>
      <w:proofErr w:type="gramEnd"/>
      <w:r w:rsidR="00916589" w:rsidRPr="001B7993">
        <w:rPr>
          <w:rFonts w:cs="Tahoma"/>
        </w:rPr>
        <w:t xml:space="preserve"> smluvní strany prohlašují, že tato smlouva je projevem jejich svobodné a vážné vůle, prosté jakékoliv tísně či nátlaku, což stvrzují svými podpisy.</w:t>
      </w:r>
    </w:p>
    <w:p w:rsidR="00BC1114" w:rsidRPr="00F125A1" w:rsidRDefault="00BC1114" w:rsidP="00916589">
      <w:pPr>
        <w:spacing w:after="120"/>
        <w:ind w:left="709" w:hanging="709"/>
        <w:rPr>
          <w:rFonts w:cs="Tahoma"/>
        </w:rPr>
      </w:pPr>
    </w:p>
    <w:p w:rsidR="00916589" w:rsidRPr="00F125A1" w:rsidRDefault="00916589" w:rsidP="00916589">
      <w:pPr>
        <w:pStyle w:val="Nadpis4"/>
        <w:tabs>
          <w:tab w:val="clear" w:pos="680"/>
          <w:tab w:val="num" w:pos="3941"/>
        </w:tabs>
      </w:pPr>
      <w:r>
        <w:t xml:space="preserve">  </w:t>
      </w:r>
      <w:r w:rsidRPr="00F125A1">
        <w:t>podpisová doložka</w:t>
      </w:r>
    </w:p>
    <w:p w:rsidR="00916589" w:rsidRDefault="00916589" w:rsidP="00916589">
      <w:pPr>
        <w:rPr>
          <w:rFonts w:cs="Tahoma"/>
        </w:rPr>
      </w:pPr>
      <w:r w:rsidRPr="00F125A1">
        <w:rPr>
          <w:rFonts w:cs="Tahoma"/>
        </w:rPr>
        <w:t>V </w:t>
      </w:r>
      <w:r>
        <w:rPr>
          <w:rFonts w:cs="Tahoma"/>
        </w:rPr>
        <w:t>Olomouci</w:t>
      </w:r>
      <w:r w:rsidRPr="00F125A1">
        <w:rPr>
          <w:rFonts w:cs="Tahoma"/>
        </w:rPr>
        <w:t xml:space="preserve"> dne: …….…….……….</w:t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  <w:t xml:space="preserve">V Třinci dne: </w:t>
      </w:r>
      <w:r w:rsidR="00BC1114" w:rsidRPr="00F125A1">
        <w:rPr>
          <w:rFonts w:cs="Tahoma"/>
        </w:rPr>
        <w:t>…….…….……….</w:t>
      </w:r>
    </w:p>
    <w:p w:rsidR="006E1F9C" w:rsidRPr="00F125A1" w:rsidRDefault="006E1F9C" w:rsidP="00916589">
      <w:pPr>
        <w:rPr>
          <w:rFonts w:cs="Tahoma"/>
        </w:rPr>
      </w:pPr>
    </w:p>
    <w:p w:rsidR="00916589" w:rsidRPr="00F125A1" w:rsidRDefault="00916589" w:rsidP="00916589">
      <w:pPr>
        <w:rPr>
          <w:rFonts w:cs="Tahoma"/>
        </w:rPr>
      </w:pPr>
    </w:p>
    <w:p w:rsidR="006E1F9C" w:rsidRDefault="006E1F9C" w:rsidP="00916589">
      <w:pPr>
        <w:rPr>
          <w:rFonts w:cs="Tahoma"/>
        </w:rPr>
      </w:pPr>
    </w:p>
    <w:p w:rsidR="00BC1114" w:rsidRDefault="00BC1114" w:rsidP="00916589">
      <w:pPr>
        <w:rPr>
          <w:rFonts w:cs="Tahoma"/>
        </w:rPr>
      </w:pPr>
    </w:p>
    <w:p w:rsidR="00BC1114" w:rsidRDefault="00BC1114" w:rsidP="00916589">
      <w:pPr>
        <w:rPr>
          <w:rFonts w:cs="Tahoma"/>
        </w:rPr>
      </w:pPr>
    </w:p>
    <w:p w:rsidR="00BC1114" w:rsidRDefault="00BC1114" w:rsidP="00916589">
      <w:pPr>
        <w:rPr>
          <w:rFonts w:cs="Tahoma"/>
        </w:rPr>
      </w:pPr>
    </w:p>
    <w:p w:rsidR="007B07F7" w:rsidRDefault="007B07F7" w:rsidP="00916589">
      <w:pPr>
        <w:rPr>
          <w:rFonts w:cs="Tahoma"/>
        </w:rPr>
      </w:pPr>
    </w:p>
    <w:p w:rsidR="007B07F7" w:rsidRDefault="007B07F7" w:rsidP="00916589">
      <w:pPr>
        <w:rPr>
          <w:rFonts w:cs="Tahoma"/>
        </w:rPr>
      </w:pPr>
    </w:p>
    <w:p w:rsidR="00916589" w:rsidRPr="00F125A1" w:rsidRDefault="00916589" w:rsidP="00916589">
      <w:pPr>
        <w:rPr>
          <w:rFonts w:cs="Tahoma"/>
        </w:rPr>
      </w:pPr>
      <w:r w:rsidRPr="00F125A1">
        <w:rPr>
          <w:rFonts w:cs="Tahoma"/>
        </w:rPr>
        <w:tab/>
      </w:r>
    </w:p>
    <w:p w:rsidR="00916589" w:rsidRPr="00F125A1" w:rsidRDefault="00916589" w:rsidP="00916589">
      <w:pPr>
        <w:rPr>
          <w:rFonts w:cs="Tahoma"/>
        </w:rPr>
      </w:pPr>
      <w:r w:rsidRPr="00F125A1">
        <w:rPr>
          <w:rFonts w:cs="Tahoma"/>
        </w:rPr>
        <w:t>…………………………………………………</w:t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  <w:t>…………………………………………………</w:t>
      </w:r>
    </w:p>
    <w:p w:rsidR="00916589" w:rsidRDefault="00916589">
      <w:pPr>
        <w:ind w:left="720"/>
        <w:rPr>
          <w:rFonts w:cs="Tahoma"/>
        </w:rPr>
      </w:pPr>
      <w:r w:rsidRPr="00F125A1">
        <w:rPr>
          <w:rFonts w:cs="Tahoma"/>
        </w:rPr>
        <w:t xml:space="preserve">       Odběratel</w:t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</w:r>
      <w:r w:rsidRPr="00F125A1">
        <w:rPr>
          <w:rFonts w:cs="Tahoma"/>
        </w:rPr>
        <w:tab/>
        <w:t xml:space="preserve">     Dodavatel</w:t>
      </w:r>
    </w:p>
    <w:p w:rsidR="0099197D" w:rsidRDefault="0099197D" w:rsidP="0054606F">
      <w:pPr>
        <w:rPr>
          <w:rFonts w:cs="Tahoma"/>
        </w:rPr>
      </w:pPr>
    </w:p>
    <w:p w:rsidR="0099197D" w:rsidRDefault="0099197D" w:rsidP="0054606F">
      <w:pPr>
        <w:rPr>
          <w:rFonts w:cs="Tahoma"/>
        </w:rPr>
      </w:pPr>
    </w:p>
    <w:sectPr w:rsidR="0099197D" w:rsidSect="00BC1114">
      <w:footerReference w:type="default" r:id="rId9"/>
      <w:footerReference w:type="first" r:id="rId10"/>
      <w:pgSz w:w="11906" w:h="16838" w:code="9"/>
      <w:pgMar w:top="1134" w:right="1134" w:bottom="1134" w:left="1418" w:header="709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E4" w:rsidRDefault="00D809E4">
      <w:r>
        <w:separator/>
      </w:r>
    </w:p>
  </w:endnote>
  <w:endnote w:type="continuationSeparator" w:id="0">
    <w:p w:rsidR="00D809E4" w:rsidRDefault="00D8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28" w:rsidRDefault="000E1E28">
    <w:pPr>
      <w:pStyle w:val="Zpat"/>
    </w:pPr>
  </w:p>
  <w:p w:rsidR="000E1E28" w:rsidRDefault="000E1E28">
    <w:pPr>
      <w:pStyle w:val="Zpat"/>
    </w:pPr>
  </w:p>
  <w:p w:rsidR="000E1E28" w:rsidRDefault="000E1E28">
    <w:pPr>
      <w:pStyle w:val="Zpat"/>
      <w:rPr>
        <w:rStyle w:val="slostrnky"/>
        <w:sz w:val="16"/>
      </w:rPr>
    </w:pPr>
    <w:r>
      <w:rPr>
        <w:sz w:val="16"/>
      </w:rPr>
      <w:t>Smlouva č.:</w:t>
    </w:r>
    <w:r w:rsidR="00CA4ACC">
      <w:rPr>
        <w:sz w:val="16"/>
      </w:rPr>
      <w:t xml:space="preserve"> </w:t>
    </w:r>
    <w:r w:rsidR="009B083D">
      <w:rPr>
        <w:sz w:val="16"/>
      </w:rPr>
      <w:t>1984/2016</w:t>
    </w:r>
    <w:r>
      <w:rPr>
        <w:sz w:val="16"/>
      </w:rPr>
      <w:tab/>
    </w:r>
    <w:r>
      <w:rPr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D7571C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 z  </w:t>
    </w:r>
    <w:r w:rsidRPr="00F93349">
      <w:rPr>
        <w:rStyle w:val="slostrnky"/>
        <w:rFonts w:cs="Tahoma"/>
        <w:sz w:val="16"/>
        <w:szCs w:val="16"/>
      </w:rPr>
      <w:fldChar w:fldCharType="begin"/>
    </w:r>
    <w:r w:rsidRPr="00F93349">
      <w:rPr>
        <w:rStyle w:val="slostrnky"/>
        <w:rFonts w:cs="Tahoma"/>
        <w:sz w:val="16"/>
        <w:szCs w:val="16"/>
      </w:rPr>
      <w:instrText xml:space="preserve"> NUMPAGES </w:instrText>
    </w:r>
    <w:r w:rsidRPr="00F93349">
      <w:rPr>
        <w:rStyle w:val="slostrnky"/>
        <w:rFonts w:cs="Tahoma"/>
        <w:sz w:val="16"/>
        <w:szCs w:val="16"/>
      </w:rPr>
      <w:fldChar w:fldCharType="separate"/>
    </w:r>
    <w:r w:rsidR="00D7571C">
      <w:rPr>
        <w:rStyle w:val="slostrnky"/>
        <w:rFonts w:cs="Tahoma"/>
        <w:noProof/>
        <w:sz w:val="16"/>
        <w:szCs w:val="16"/>
      </w:rPr>
      <w:t>4</w:t>
    </w:r>
    <w:r w:rsidRPr="00F93349">
      <w:rPr>
        <w:rStyle w:val="slostrnky"/>
        <w:rFonts w:cs="Tahoma"/>
        <w:sz w:val="16"/>
        <w:szCs w:val="16"/>
      </w:rPr>
      <w:fldChar w:fldCharType="end"/>
    </w:r>
  </w:p>
  <w:p w:rsidR="000E1E28" w:rsidRDefault="000E1E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C3C" w:rsidRDefault="00161C3C" w:rsidP="00161C3C">
    <w:pPr>
      <w:pStyle w:val="Zpat"/>
      <w:rPr>
        <w:rStyle w:val="slostrnky"/>
        <w:sz w:val="16"/>
      </w:rPr>
    </w:pPr>
    <w:r>
      <w:rPr>
        <w:sz w:val="16"/>
      </w:rPr>
      <w:t xml:space="preserve">Smlouva č.: </w:t>
    </w:r>
    <w:r w:rsidR="00B45A8F">
      <w:rPr>
        <w:sz w:val="16"/>
      </w:rPr>
      <w:t>1984/2016</w:t>
    </w:r>
    <w:r>
      <w:rPr>
        <w:sz w:val="16"/>
      </w:rPr>
      <w:tab/>
    </w:r>
    <w:r>
      <w:rPr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D7571C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 z  </w:t>
    </w:r>
    <w:r w:rsidRPr="00F93349">
      <w:rPr>
        <w:rStyle w:val="slostrnky"/>
        <w:rFonts w:cs="Tahoma"/>
        <w:sz w:val="16"/>
        <w:szCs w:val="16"/>
      </w:rPr>
      <w:fldChar w:fldCharType="begin"/>
    </w:r>
    <w:r w:rsidRPr="00F93349">
      <w:rPr>
        <w:rStyle w:val="slostrnky"/>
        <w:rFonts w:cs="Tahoma"/>
        <w:sz w:val="16"/>
        <w:szCs w:val="16"/>
      </w:rPr>
      <w:instrText xml:space="preserve"> NUMPAGES </w:instrText>
    </w:r>
    <w:r w:rsidRPr="00F93349">
      <w:rPr>
        <w:rStyle w:val="slostrnky"/>
        <w:rFonts w:cs="Tahoma"/>
        <w:sz w:val="16"/>
        <w:szCs w:val="16"/>
      </w:rPr>
      <w:fldChar w:fldCharType="separate"/>
    </w:r>
    <w:r w:rsidR="00D7571C">
      <w:rPr>
        <w:rStyle w:val="slostrnky"/>
        <w:rFonts w:cs="Tahoma"/>
        <w:noProof/>
        <w:sz w:val="16"/>
        <w:szCs w:val="16"/>
      </w:rPr>
      <w:t>4</w:t>
    </w:r>
    <w:r w:rsidRPr="00F93349">
      <w:rPr>
        <w:rStyle w:val="slostrnky"/>
        <w:rFonts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E4" w:rsidRDefault="00D809E4">
      <w:r>
        <w:separator/>
      </w:r>
    </w:p>
  </w:footnote>
  <w:footnote w:type="continuationSeparator" w:id="0">
    <w:p w:rsidR="00D809E4" w:rsidRDefault="00D8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E1D"/>
    <w:multiLevelType w:val="hybridMultilevel"/>
    <w:tmpl w:val="837A3E08"/>
    <w:lvl w:ilvl="0" w:tplc="3FB0D50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AF3E55"/>
    <w:multiLevelType w:val="multilevel"/>
    <w:tmpl w:val="60C4CB76"/>
    <w:lvl w:ilvl="0">
      <w:start w:val="1"/>
      <w:numFmt w:val="upperRoman"/>
      <w:pStyle w:val="Nadpis4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34C59FA"/>
    <w:multiLevelType w:val="singleLevel"/>
    <w:tmpl w:val="4F722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3">
    <w:nsid w:val="335211C9"/>
    <w:multiLevelType w:val="multilevel"/>
    <w:tmpl w:val="310CE8E0"/>
    <w:lvl w:ilvl="0">
      <w:start w:val="1"/>
      <w:numFmt w:val="decimal"/>
      <w:pStyle w:val="slov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FA365C"/>
    <w:multiLevelType w:val="hybridMultilevel"/>
    <w:tmpl w:val="686EA92A"/>
    <w:lvl w:ilvl="0" w:tplc="0F22CDA8">
      <w:start w:val="1"/>
      <w:numFmt w:val="bullet"/>
      <w:pStyle w:val="StylZnaka1Za0b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9BF4BEC"/>
    <w:multiLevelType w:val="hybridMultilevel"/>
    <w:tmpl w:val="D60296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0F6B63"/>
    <w:multiLevelType w:val="multilevel"/>
    <w:tmpl w:val="50B21512"/>
    <w:lvl w:ilvl="0">
      <w:start w:val="1"/>
      <w:numFmt w:val="bullet"/>
      <w:pStyle w:val="Zna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657"/>
      </w:p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28"/>
    <w:rsid w:val="00000F1F"/>
    <w:rsid w:val="00034646"/>
    <w:rsid w:val="00037681"/>
    <w:rsid w:val="000414B8"/>
    <w:rsid w:val="00055BC7"/>
    <w:rsid w:val="00055FFE"/>
    <w:rsid w:val="000715F8"/>
    <w:rsid w:val="00076F59"/>
    <w:rsid w:val="000A28E4"/>
    <w:rsid w:val="000C3904"/>
    <w:rsid w:val="000E1E28"/>
    <w:rsid w:val="000F7035"/>
    <w:rsid w:val="000F772C"/>
    <w:rsid w:val="00100443"/>
    <w:rsid w:val="00131BDF"/>
    <w:rsid w:val="00133C62"/>
    <w:rsid w:val="00142231"/>
    <w:rsid w:val="00145A66"/>
    <w:rsid w:val="001551B7"/>
    <w:rsid w:val="00161C3C"/>
    <w:rsid w:val="00163AF4"/>
    <w:rsid w:val="0017246D"/>
    <w:rsid w:val="00182BC4"/>
    <w:rsid w:val="00182D7E"/>
    <w:rsid w:val="001B121D"/>
    <w:rsid w:val="001D0165"/>
    <w:rsid w:val="001D487E"/>
    <w:rsid w:val="001E0BD3"/>
    <w:rsid w:val="001F37EA"/>
    <w:rsid w:val="001F792D"/>
    <w:rsid w:val="002034FD"/>
    <w:rsid w:val="002225EB"/>
    <w:rsid w:val="00222FF3"/>
    <w:rsid w:val="00230DB5"/>
    <w:rsid w:val="00232212"/>
    <w:rsid w:val="0023404B"/>
    <w:rsid w:val="00243940"/>
    <w:rsid w:val="00244ABD"/>
    <w:rsid w:val="00260798"/>
    <w:rsid w:val="00266500"/>
    <w:rsid w:val="0027234F"/>
    <w:rsid w:val="00272B64"/>
    <w:rsid w:val="002769B5"/>
    <w:rsid w:val="00291238"/>
    <w:rsid w:val="00291394"/>
    <w:rsid w:val="002D23AF"/>
    <w:rsid w:val="002D6697"/>
    <w:rsid w:val="00301A60"/>
    <w:rsid w:val="003050DB"/>
    <w:rsid w:val="00307E5C"/>
    <w:rsid w:val="00315DB8"/>
    <w:rsid w:val="00322346"/>
    <w:rsid w:val="003246D4"/>
    <w:rsid w:val="00335655"/>
    <w:rsid w:val="00351945"/>
    <w:rsid w:val="00360A28"/>
    <w:rsid w:val="00370D1F"/>
    <w:rsid w:val="00371310"/>
    <w:rsid w:val="00382A0F"/>
    <w:rsid w:val="003854E1"/>
    <w:rsid w:val="00395831"/>
    <w:rsid w:val="003A6EF0"/>
    <w:rsid w:val="003B24C1"/>
    <w:rsid w:val="003B4931"/>
    <w:rsid w:val="003B4DF6"/>
    <w:rsid w:val="003C70A4"/>
    <w:rsid w:val="003D2079"/>
    <w:rsid w:val="003D4B05"/>
    <w:rsid w:val="003F1A32"/>
    <w:rsid w:val="00405859"/>
    <w:rsid w:val="00405E9C"/>
    <w:rsid w:val="004200FE"/>
    <w:rsid w:val="0042407F"/>
    <w:rsid w:val="004304CA"/>
    <w:rsid w:val="0043408A"/>
    <w:rsid w:val="0043564E"/>
    <w:rsid w:val="00446E99"/>
    <w:rsid w:val="0045092A"/>
    <w:rsid w:val="00453D8E"/>
    <w:rsid w:val="004671A0"/>
    <w:rsid w:val="00467221"/>
    <w:rsid w:val="00477A9B"/>
    <w:rsid w:val="004813AA"/>
    <w:rsid w:val="00484FF7"/>
    <w:rsid w:val="00491C56"/>
    <w:rsid w:val="00494C51"/>
    <w:rsid w:val="004A098C"/>
    <w:rsid w:val="004A1F13"/>
    <w:rsid w:val="004A6C1A"/>
    <w:rsid w:val="004A6D73"/>
    <w:rsid w:val="004D2908"/>
    <w:rsid w:val="004D37B8"/>
    <w:rsid w:val="004E374A"/>
    <w:rsid w:val="004F5C3F"/>
    <w:rsid w:val="005042D7"/>
    <w:rsid w:val="00510097"/>
    <w:rsid w:val="00524002"/>
    <w:rsid w:val="00530C7D"/>
    <w:rsid w:val="0054606F"/>
    <w:rsid w:val="00553115"/>
    <w:rsid w:val="00554C8A"/>
    <w:rsid w:val="00555A59"/>
    <w:rsid w:val="00563D6A"/>
    <w:rsid w:val="00577F53"/>
    <w:rsid w:val="005830A8"/>
    <w:rsid w:val="0059002D"/>
    <w:rsid w:val="005933EB"/>
    <w:rsid w:val="005A53D5"/>
    <w:rsid w:val="005A7A6C"/>
    <w:rsid w:val="005C12BA"/>
    <w:rsid w:val="005C7FC6"/>
    <w:rsid w:val="005D5CF6"/>
    <w:rsid w:val="005E1843"/>
    <w:rsid w:val="005F5929"/>
    <w:rsid w:val="005F5CDF"/>
    <w:rsid w:val="005F6801"/>
    <w:rsid w:val="0061179A"/>
    <w:rsid w:val="00611D19"/>
    <w:rsid w:val="006121CF"/>
    <w:rsid w:val="00613C64"/>
    <w:rsid w:val="00621A50"/>
    <w:rsid w:val="00637B24"/>
    <w:rsid w:val="00655CA9"/>
    <w:rsid w:val="00657274"/>
    <w:rsid w:val="0066080E"/>
    <w:rsid w:val="00660D8E"/>
    <w:rsid w:val="00660DB9"/>
    <w:rsid w:val="00667CCE"/>
    <w:rsid w:val="0067219E"/>
    <w:rsid w:val="006743AB"/>
    <w:rsid w:val="00683AC5"/>
    <w:rsid w:val="00690327"/>
    <w:rsid w:val="006A2412"/>
    <w:rsid w:val="006A7116"/>
    <w:rsid w:val="006B6B78"/>
    <w:rsid w:val="006D6CCB"/>
    <w:rsid w:val="006D7C20"/>
    <w:rsid w:val="006E1F9C"/>
    <w:rsid w:val="006E5780"/>
    <w:rsid w:val="00713206"/>
    <w:rsid w:val="00721E46"/>
    <w:rsid w:val="00722F67"/>
    <w:rsid w:val="00735E99"/>
    <w:rsid w:val="00742691"/>
    <w:rsid w:val="00756EB6"/>
    <w:rsid w:val="007732EB"/>
    <w:rsid w:val="00782F0B"/>
    <w:rsid w:val="0079482E"/>
    <w:rsid w:val="007B07F7"/>
    <w:rsid w:val="007B6BE6"/>
    <w:rsid w:val="007C0676"/>
    <w:rsid w:val="007C0B0C"/>
    <w:rsid w:val="007C507B"/>
    <w:rsid w:val="007E4C72"/>
    <w:rsid w:val="007E5987"/>
    <w:rsid w:val="007F1786"/>
    <w:rsid w:val="007F47EF"/>
    <w:rsid w:val="007F50CA"/>
    <w:rsid w:val="00800997"/>
    <w:rsid w:val="00806B17"/>
    <w:rsid w:val="00820056"/>
    <w:rsid w:val="008421C5"/>
    <w:rsid w:val="008523FC"/>
    <w:rsid w:val="00852AFD"/>
    <w:rsid w:val="00861A66"/>
    <w:rsid w:val="00861A96"/>
    <w:rsid w:val="00865727"/>
    <w:rsid w:val="008814CD"/>
    <w:rsid w:val="00886381"/>
    <w:rsid w:val="00894EC9"/>
    <w:rsid w:val="008A7311"/>
    <w:rsid w:val="008A7901"/>
    <w:rsid w:val="008B0A2F"/>
    <w:rsid w:val="008C045D"/>
    <w:rsid w:val="008D5507"/>
    <w:rsid w:val="008E2CB9"/>
    <w:rsid w:val="008F403E"/>
    <w:rsid w:val="0091022D"/>
    <w:rsid w:val="00910CF4"/>
    <w:rsid w:val="009122A4"/>
    <w:rsid w:val="00913258"/>
    <w:rsid w:val="009154DB"/>
    <w:rsid w:val="00916589"/>
    <w:rsid w:val="00933A62"/>
    <w:rsid w:val="00936145"/>
    <w:rsid w:val="009366C8"/>
    <w:rsid w:val="009379B4"/>
    <w:rsid w:val="00942672"/>
    <w:rsid w:val="00947C8E"/>
    <w:rsid w:val="00950EE9"/>
    <w:rsid w:val="0095380D"/>
    <w:rsid w:val="00957166"/>
    <w:rsid w:val="00966E20"/>
    <w:rsid w:val="00985038"/>
    <w:rsid w:val="00990486"/>
    <w:rsid w:val="0099197D"/>
    <w:rsid w:val="00997772"/>
    <w:rsid w:val="009A0AA8"/>
    <w:rsid w:val="009B083D"/>
    <w:rsid w:val="009B3B70"/>
    <w:rsid w:val="009B49FE"/>
    <w:rsid w:val="009C3F6A"/>
    <w:rsid w:val="009D0F9E"/>
    <w:rsid w:val="009D1129"/>
    <w:rsid w:val="009D2ABC"/>
    <w:rsid w:val="009D3C8D"/>
    <w:rsid w:val="009D4E3E"/>
    <w:rsid w:val="009E26F1"/>
    <w:rsid w:val="009F3F94"/>
    <w:rsid w:val="009F4631"/>
    <w:rsid w:val="009F6928"/>
    <w:rsid w:val="00A07DA1"/>
    <w:rsid w:val="00A1313D"/>
    <w:rsid w:val="00A13532"/>
    <w:rsid w:val="00A148B3"/>
    <w:rsid w:val="00A3332B"/>
    <w:rsid w:val="00A53CBE"/>
    <w:rsid w:val="00A5451A"/>
    <w:rsid w:val="00A747AD"/>
    <w:rsid w:val="00A85AD4"/>
    <w:rsid w:val="00AA00D6"/>
    <w:rsid w:val="00AB55B1"/>
    <w:rsid w:val="00AC034B"/>
    <w:rsid w:val="00AC2018"/>
    <w:rsid w:val="00AC3A59"/>
    <w:rsid w:val="00AC3DBD"/>
    <w:rsid w:val="00AC6857"/>
    <w:rsid w:val="00AD295C"/>
    <w:rsid w:val="00AD4E90"/>
    <w:rsid w:val="00AE4F0D"/>
    <w:rsid w:val="00AF28A2"/>
    <w:rsid w:val="00AF3A46"/>
    <w:rsid w:val="00B014AA"/>
    <w:rsid w:val="00B02BA3"/>
    <w:rsid w:val="00B11944"/>
    <w:rsid w:val="00B144F6"/>
    <w:rsid w:val="00B20E81"/>
    <w:rsid w:val="00B24050"/>
    <w:rsid w:val="00B45A8F"/>
    <w:rsid w:val="00B466AD"/>
    <w:rsid w:val="00B56A4E"/>
    <w:rsid w:val="00B9291C"/>
    <w:rsid w:val="00BB1FCA"/>
    <w:rsid w:val="00BC1114"/>
    <w:rsid w:val="00BC4C2C"/>
    <w:rsid w:val="00BC687E"/>
    <w:rsid w:val="00BD10CE"/>
    <w:rsid w:val="00BD6E16"/>
    <w:rsid w:val="00BE2406"/>
    <w:rsid w:val="00BE3DC3"/>
    <w:rsid w:val="00BF7225"/>
    <w:rsid w:val="00BF76E6"/>
    <w:rsid w:val="00C02BD3"/>
    <w:rsid w:val="00C0681C"/>
    <w:rsid w:val="00C10935"/>
    <w:rsid w:val="00C304D3"/>
    <w:rsid w:val="00C3176C"/>
    <w:rsid w:val="00C34666"/>
    <w:rsid w:val="00C3633E"/>
    <w:rsid w:val="00C473EC"/>
    <w:rsid w:val="00C57E91"/>
    <w:rsid w:val="00C60751"/>
    <w:rsid w:val="00CA4ACC"/>
    <w:rsid w:val="00CC5C2E"/>
    <w:rsid w:val="00CD5D7A"/>
    <w:rsid w:val="00CF11E0"/>
    <w:rsid w:val="00D03196"/>
    <w:rsid w:val="00D036F7"/>
    <w:rsid w:val="00D07E78"/>
    <w:rsid w:val="00D3607E"/>
    <w:rsid w:val="00D40746"/>
    <w:rsid w:val="00D44713"/>
    <w:rsid w:val="00D71096"/>
    <w:rsid w:val="00D74E45"/>
    <w:rsid w:val="00D7571C"/>
    <w:rsid w:val="00D805FD"/>
    <w:rsid w:val="00D809E4"/>
    <w:rsid w:val="00D8124C"/>
    <w:rsid w:val="00D935ED"/>
    <w:rsid w:val="00DA1BDD"/>
    <w:rsid w:val="00DA60C7"/>
    <w:rsid w:val="00DB4E21"/>
    <w:rsid w:val="00DC3C4F"/>
    <w:rsid w:val="00E01A3B"/>
    <w:rsid w:val="00E1236B"/>
    <w:rsid w:val="00E20C51"/>
    <w:rsid w:val="00E21925"/>
    <w:rsid w:val="00E37D7D"/>
    <w:rsid w:val="00E60210"/>
    <w:rsid w:val="00E60F0A"/>
    <w:rsid w:val="00E67417"/>
    <w:rsid w:val="00E733E1"/>
    <w:rsid w:val="00E8037C"/>
    <w:rsid w:val="00E916EF"/>
    <w:rsid w:val="00E93DC5"/>
    <w:rsid w:val="00EA2B2C"/>
    <w:rsid w:val="00EB1150"/>
    <w:rsid w:val="00EB6F48"/>
    <w:rsid w:val="00EC4D46"/>
    <w:rsid w:val="00ED2203"/>
    <w:rsid w:val="00ED4690"/>
    <w:rsid w:val="00EE51CC"/>
    <w:rsid w:val="00EF0148"/>
    <w:rsid w:val="00EF5102"/>
    <w:rsid w:val="00F07B7C"/>
    <w:rsid w:val="00F1043F"/>
    <w:rsid w:val="00F12DD3"/>
    <w:rsid w:val="00F25221"/>
    <w:rsid w:val="00F300B9"/>
    <w:rsid w:val="00F44E04"/>
    <w:rsid w:val="00F53D30"/>
    <w:rsid w:val="00F55265"/>
    <w:rsid w:val="00F56450"/>
    <w:rsid w:val="00F756DA"/>
    <w:rsid w:val="00F85F17"/>
    <w:rsid w:val="00F92B1A"/>
    <w:rsid w:val="00F93349"/>
    <w:rsid w:val="00FA301B"/>
    <w:rsid w:val="00FB4F70"/>
    <w:rsid w:val="00FC10DE"/>
    <w:rsid w:val="00FE0176"/>
    <w:rsid w:val="00F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66C8"/>
    <w:rPr>
      <w:rFonts w:ascii="Tahoma" w:hAnsi="Tahoma"/>
    </w:rPr>
  </w:style>
  <w:style w:type="paragraph" w:styleId="Nadpis1">
    <w:name w:val="heading 1"/>
    <w:basedOn w:val="Normln"/>
    <w:next w:val="Normln"/>
    <w:qFormat/>
    <w:rsid w:val="00FE31DD"/>
    <w:pPr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FE31DD"/>
    <w:pPr>
      <w:keepNext/>
      <w:jc w:val="center"/>
      <w:outlineLvl w:val="1"/>
    </w:pPr>
    <w:rPr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slovn1"/>
    <w:link w:val="Nadpis4Char"/>
    <w:qFormat/>
    <w:rsid w:val="006E1F9C"/>
    <w:pPr>
      <w:keepNext/>
      <w:numPr>
        <w:numId w:val="2"/>
      </w:numPr>
      <w:spacing w:before="480" w:after="160"/>
      <w:ind w:left="357" w:hanging="357"/>
      <w:jc w:val="center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45092A"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0F9E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vn2">
    <w:name w:val="Číslování 2"/>
    <w:basedOn w:val="Normln"/>
    <w:rsid w:val="009366C8"/>
    <w:pPr>
      <w:spacing w:after="120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center"/>
    </w:pPr>
    <w:rPr>
      <w:b/>
    </w:r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</w:rPr>
  </w:style>
  <w:style w:type="character" w:styleId="Hypertextovodkaz">
    <w:name w:val="Hyperlink"/>
    <w:basedOn w:val="Standardnpsmoodstavce"/>
    <w:rsid w:val="00307E5C"/>
    <w:rPr>
      <w:color w:val="0000FF"/>
      <w:u w:val="single"/>
    </w:rPr>
  </w:style>
  <w:style w:type="character" w:styleId="Sledovanodkaz">
    <w:name w:val="FollowedHyperlink"/>
    <w:basedOn w:val="Standardnpsmoodstavce"/>
    <w:rsid w:val="00E20C51"/>
    <w:rPr>
      <w:color w:val="800080"/>
      <w:u w:val="single"/>
    </w:rPr>
  </w:style>
  <w:style w:type="paragraph" w:customStyle="1" w:styleId="dka">
    <w:name w:val="Řádka"/>
    <w:rsid w:val="00EF0148"/>
    <w:pPr>
      <w:widowControl w:val="0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Znaka1">
    <w:name w:val="Značka 1"/>
    <w:basedOn w:val="Normln"/>
    <w:rsid w:val="009D0F9E"/>
    <w:pPr>
      <w:numPr>
        <w:numId w:val="1"/>
      </w:numPr>
      <w:ind w:left="754" w:hanging="357"/>
      <w:jc w:val="both"/>
    </w:pPr>
  </w:style>
  <w:style w:type="character" w:customStyle="1" w:styleId="Nadpis4Char">
    <w:name w:val="Nadpis 4 Char"/>
    <w:basedOn w:val="Standardnpsmoodstavce"/>
    <w:link w:val="Nadpis4"/>
    <w:rsid w:val="006E1F9C"/>
    <w:rPr>
      <w:rFonts w:ascii="Tahoma" w:hAnsi="Tahoma"/>
      <w:b/>
      <w:caps/>
    </w:rPr>
  </w:style>
  <w:style w:type="paragraph" w:customStyle="1" w:styleId="slovn1">
    <w:name w:val="Číslování 1"/>
    <w:basedOn w:val="slovn2"/>
    <w:rsid w:val="009366C8"/>
    <w:pPr>
      <w:numPr>
        <w:numId w:val="3"/>
      </w:numPr>
    </w:pPr>
    <w:rPr>
      <w:rFonts w:ascii="Tahoma" w:hAnsi="Tahoma"/>
      <w:sz w:val="20"/>
    </w:rPr>
  </w:style>
  <w:style w:type="character" w:styleId="Odkaznakoment">
    <w:name w:val="annotation reference"/>
    <w:basedOn w:val="Standardnpsmoodstavce"/>
    <w:rsid w:val="00494C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4C51"/>
  </w:style>
  <w:style w:type="character" w:customStyle="1" w:styleId="TextkomenteChar">
    <w:name w:val="Text komentáře Char"/>
    <w:basedOn w:val="Standardnpsmoodstavce"/>
    <w:link w:val="Textkomente"/>
    <w:rsid w:val="00494C51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49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94C51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494C5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94C51"/>
    <w:rPr>
      <w:rFonts w:ascii="Tahoma" w:hAnsi="Tahoma" w:cs="Tahoma"/>
      <w:sz w:val="16"/>
      <w:szCs w:val="16"/>
    </w:rPr>
  </w:style>
  <w:style w:type="paragraph" w:customStyle="1" w:styleId="StylZnaka1Za0b">
    <w:name w:val="Styl Značka 1 + Za:  0 b."/>
    <w:basedOn w:val="Normln"/>
    <w:rsid w:val="001551B7"/>
    <w:pPr>
      <w:numPr>
        <w:numId w:val="11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551B7"/>
    <w:pPr>
      <w:ind w:left="708"/>
    </w:pPr>
  </w:style>
  <w:style w:type="character" w:customStyle="1" w:styleId="platne1">
    <w:name w:val="platne1"/>
    <w:basedOn w:val="Standardnpsmoodstavce"/>
    <w:rsid w:val="00D80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66C8"/>
    <w:rPr>
      <w:rFonts w:ascii="Tahoma" w:hAnsi="Tahoma"/>
    </w:rPr>
  </w:style>
  <w:style w:type="paragraph" w:styleId="Nadpis1">
    <w:name w:val="heading 1"/>
    <w:basedOn w:val="Normln"/>
    <w:next w:val="Normln"/>
    <w:qFormat/>
    <w:rsid w:val="00FE31DD"/>
    <w:pPr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FE31DD"/>
    <w:pPr>
      <w:keepNext/>
      <w:jc w:val="center"/>
      <w:outlineLvl w:val="1"/>
    </w:pPr>
    <w:rPr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slovn1"/>
    <w:link w:val="Nadpis4Char"/>
    <w:qFormat/>
    <w:rsid w:val="006E1F9C"/>
    <w:pPr>
      <w:keepNext/>
      <w:numPr>
        <w:numId w:val="2"/>
      </w:numPr>
      <w:spacing w:before="480" w:after="160"/>
      <w:ind w:left="357" w:hanging="357"/>
      <w:jc w:val="center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45092A"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0F9E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vn2">
    <w:name w:val="Číslování 2"/>
    <w:basedOn w:val="Normln"/>
    <w:rsid w:val="009366C8"/>
    <w:pPr>
      <w:spacing w:after="120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center"/>
    </w:pPr>
    <w:rPr>
      <w:b/>
    </w:r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</w:rPr>
  </w:style>
  <w:style w:type="character" w:styleId="Hypertextovodkaz">
    <w:name w:val="Hyperlink"/>
    <w:basedOn w:val="Standardnpsmoodstavce"/>
    <w:rsid w:val="00307E5C"/>
    <w:rPr>
      <w:color w:val="0000FF"/>
      <w:u w:val="single"/>
    </w:rPr>
  </w:style>
  <w:style w:type="character" w:styleId="Sledovanodkaz">
    <w:name w:val="FollowedHyperlink"/>
    <w:basedOn w:val="Standardnpsmoodstavce"/>
    <w:rsid w:val="00E20C51"/>
    <w:rPr>
      <w:color w:val="800080"/>
      <w:u w:val="single"/>
    </w:rPr>
  </w:style>
  <w:style w:type="paragraph" w:customStyle="1" w:styleId="dka">
    <w:name w:val="Řádka"/>
    <w:rsid w:val="00EF0148"/>
    <w:pPr>
      <w:widowControl w:val="0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Znaka1">
    <w:name w:val="Značka 1"/>
    <w:basedOn w:val="Normln"/>
    <w:rsid w:val="009D0F9E"/>
    <w:pPr>
      <w:numPr>
        <w:numId w:val="1"/>
      </w:numPr>
      <w:ind w:left="754" w:hanging="357"/>
      <w:jc w:val="both"/>
    </w:pPr>
  </w:style>
  <w:style w:type="character" w:customStyle="1" w:styleId="Nadpis4Char">
    <w:name w:val="Nadpis 4 Char"/>
    <w:basedOn w:val="Standardnpsmoodstavce"/>
    <w:link w:val="Nadpis4"/>
    <w:rsid w:val="006E1F9C"/>
    <w:rPr>
      <w:rFonts w:ascii="Tahoma" w:hAnsi="Tahoma"/>
      <w:b/>
      <w:caps/>
    </w:rPr>
  </w:style>
  <w:style w:type="paragraph" w:customStyle="1" w:styleId="slovn1">
    <w:name w:val="Číslování 1"/>
    <w:basedOn w:val="slovn2"/>
    <w:rsid w:val="009366C8"/>
    <w:pPr>
      <w:numPr>
        <w:numId w:val="3"/>
      </w:numPr>
    </w:pPr>
    <w:rPr>
      <w:rFonts w:ascii="Tahoma" w:hAnsi="Tahoma"/>
      <w:sz w:val="20"/>
    </w:rPr>
  </w:style>
  <w:style w:type="character" w:styleId="Odkaznakoment">
    <w:name w:val="annotation reference"/>
    <w:basedOn w:val="Standardnpsmoodstavce"/>
    <w:rsid w:val="00494C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4C51"/>
  </w:style>
  <w:style w:type="character" w:customStyle="1" w:styleId="TextkomenteChar">
    <w:name w:val="Text komentáře Char"/>
    <w:basedOn w:val="Standardnpsmoodstavce"/>
    <w:link w:val="Textkomente"/>
    <w:rsid w:val="00494C51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49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94C51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494C5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94C51"/>
    <w:rPr>
      <w:rFonts w:ascii="Tahoma" w:hAnsi="Tahoma" w:cs="Tahoma"/>
      <w:sz w:val="16"/>
      <w:szCs w:val="16"/>
    </w:rPr>
  </w:style>
  <w:style w:type="paragraph" w:customStyle="1" w:styleId="StylZnaka1Za0b">
    <w:name w:val="Styl Značka 1 + Za:  0 b."/>
    <w:basedOn w:val="Normln"/>
    <w:rsid w:val="001551B7"/>
    <w:pPr>
      <w:numPr>
        <w:numId w:val="11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551B7"/>
    <w:pPr>
      <w:ind w:left="708"/>
    </w:pPr>
  </w:style>
  <w:style w:type="character" w:customStyle="1" w:styleId="platne1">
    <w:name w:val="platne1"/>
    <w:basedOn w:val="Standardnpsmoodstavce"/>
    <w:rsid w:val="00D8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s.trz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oszova\Dokumenty\&#352;ablony\Smlouvy\Smlouva%20o%20dod&#225;vce%20tepeln&#233;%20energ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dodávce tepelné energie</Template>
  <TotalTime>59</TotalTime>
  <Pages>4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TEPLO</vt:lpstr>
    </vt:vector>
  </TitlesOfParts>
  <Company>Energetika Třinec a.s.</Company>
  <LinksUpToDate>false</LinksUpToDate>
  <CharactersWithSpaces>8072</CharactersWithSpaces>
  <SharedDoc>false</SharedDoc>
  <HLinks>
    <vt:vector size="54" baseType="variant">
      <vt:variant>
        <vt:i4>5898281</vt:i4>
      </vt:variant>
      <vt:variant>
        <vt:i4>24</vt:i4>
      </vt:variant>
      <vt:variant>
        <vt:i4>0</vt:i4>
      </vt:variant>
      <vt:variant>
        <vt:i4>5</vt:i4>
      </vt:variant>
      <vt:variant>
        <vt:lpwstr>mailto:tylecek@rsm.cd.cz</vt:lpwstr>
      </vt:variant>
      <vt:variant>
        <vt:lpwstr/>
      </vt:variant>
      <vt:variant>
        <vt:i4>1704043</vt:i4>
      </vt:variant>
      <vt:variant>
        <vt:i4>21</vt:i4>
      </vt:variant>
      <vt:variant>
        <vt:i4>0</vt:i4>
      </vt:variant>
      <vt:variant>
        <vt:i4>5</vt:i4>
      </vt:variant>
      <vt:variant>
        <vt:lpwstr>mailto:kofron@rsm.cd.cz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>mailto: jilasota@et.trz.cz</vt:lpwstr>
      </vt:variant>
      <vt:variant>
        <vt:lpwstr/>
      </vt:variant>
      <vt:variant>
        <vt:i4>3604569</vt:i4>
      </vt:variant>
      <vt:variant>
        <vt:i4>15</vt:i4>
      </vt:variant>
      <vt:variant>
        <vt:i4>0</vt:i4>
      </vt:variant>
      <vt:variant>
        <vt:i4>5</vt:i4>
      </vt:variant>
      <vt:variant>
        <vt:lpwstr>mailto:jzaremba@et.trz.cz</vt:lpwstr>
      </vt:variant>
      <vt:variant>
        <vt:lpwstr/>
      </vt:variant>
      <vt:variant>
        <vt:i4>3997789</vt:i4>
      </vt:variant>
      <vt:variant>
        <vt:i4>12</vt:i4>
      </vt:variant>
      <vt:variant>
        <vt:i4>0</vt:i4>
      </vt:variant>
      <vt:variant>
        <vt:i4>5</vt:i4>
      </vt:variant>
      <vt:variant>
        <vt:lpwstr>mailto:pgabriel@et.trz.cz</vt:lpwstr>
      </vt:variant>
      <vt:variant>
        <vt:lpwstr/>
      </vt:variant>
      <vt:variant>
        <vt:i4>5505087</vt:i4>
      </vt:variant>
      <vt:variant>
        <vt:i4>9</vt:i4>
      </vt:variant>
      <vt:variant>
        <vt:i4>0</vt:i4>
      </vt:variant>
      <vt:variant>
        <vt:i4>5</vt:i4>
      </vt:variant>
      <vt:variant>
        <vt:lpwstr>mailto:mmaroszova@et.trz.cz</vt:lpwstr>
      </vt:variant>
      <vt:variant>
        <vt:lpwstr/>
      </vt:variant>
      <vt:variant>
        <vt:i4>2883653</vt:i4>
      </vt:variant>
      <vt:variant>
        <vt:i4>6</vt:i4>
      </vt:variant>
      <vt:variant>
        <vt:i4>0</vt:i4>
      </vt:variant>
      <vt:variant>
        <vt:i4>5</vt:i4>
      </vt:variant>
      <vt:variant>
        <vt:lpwstr>mailto:jankisza@et.trz.cz</vt:lpwstr>
      </vt:variant>
      <vt:variant>
        <vt:lpwstr/>
      </vt:variant>
      <vt:variant>
        <vt:i4>6750331</vt:i4>
      </vt:variant>
      <vt:variant>
        <vt:i4>3</vt:i4>
      </vt:variant>
      <vt:variant>
        <vt:i4>0</vt:i4>
      </vt:variant>
      <vt:variant>
        <vt:i4>5</vt:i4>
      </vt:variant>
      <vt:variant>
        <vt:lpwstr>http://www.etas.trz.cz/index.php?pid=ke-stazeni&amp;sub=info-pro-odberatele&amp;sup=technicke-a-dodaci-podminky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http://www.etas.trz.cz/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TEPLO</dc:title>
  <dc:creator>maroszova</dc:creator>
  <cp:lastModifiedBy>Tylecek</cp:lastModifiedBy>
  <cp:revision>9</cp:revision>
  <cp:lastPrinted>2016-08-29T05:52:00Z</cp:lastPrinted>
  <dcterms:created xsi:type="dcterms:W3CDTF">2016-08-29T05:42:00Z</dcterms:created>
  <dcterms:modified xsi:type="dcterms:W3CDTF">2016-09-08T11:24:00Z</dcterms:modified>
</cp:coreProperties>
</file>