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9"/>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DODATEK Č. 2</w:t>
      </w:r>
      <w:bookmarkEnd w:id="0"/>
      <w:bookmarkEnd w:id="1"/>
    </w:p>
    <w:p>
      <w:pPr>
        <w:pStyle w:val="Style7"/>
        <w:keepNext w:val="0"/>
        <w:keepLines w:val="0"/>
        <w:widowControl w:val="0"/>
        <w:shd w:val="clear" w:color="auto" w:fill="auto"/>
        <w:bidi w:val="0"/>
        <w:spacing w:before="0" w:after="400" w:line="240" w:lineRule="auto"/>
        <w:ind w:left="0" w:right="0" w:firstLine="0"/>
        <w:jc w:val="center"/>
      </w:pPr>
      <w:r>
        <w:rPr>
          <w:b/>
          <w:bCs/>
          <w:color w:val="000000"/>
          <w:spacing w:val="0"/>
          <w:w w:val="100"/>
          <w:position w:val="0"/>
          <w:shd w:val="clear" w:color="auto" w:fill="auto"/>
          <w:lang w:val="cs-CZ" w:eastAsia="cs-CZ" w:bidi="cs-CZ"/>
        </w:rPr>
        <w:t>ke smlouvě o dílo „Vypracování projektové dokumentace III/38714 Skorotice - most ev. č. 38714-4“,</w:t>
        <w:br/>
        <w:t>ze dne 22. 10. 2020, ve znění jejího dodatku č. 1 ze dne 02. 01. 2023</w:t>
      </w:r>
    </w:p>
    <w:p>
      <w:pPr>
        <w:pStyle w:val="Style7"/>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 xml:space="preserve">Číslo smlouvy objednatele: </w:t>
      </w:r>
      <w:r>
        <w:rPr>
          <w:b/>
          <w:bCs/>
          <w:i/>
          <w:iCs/>
          <w:color w:val="000000"/>
          <w:spacing w:val="0"/>
          <w:w w:val="100"/>
          <w:position w:val="0"/>
          <w:shd w:val="clear" w:color="auto" w:fill="auto"/>
          <w:lang w:val="cs-CZ" w:eastAsia="cs-CZ" w:bidi="cs-CZ"/>
        </w:rPr>
        <w:t>ZMR-SL-74-2020</w:t>
      </w:r>
    </w:p>
    <w:p>
      <w:pPr>
        <w:pStyle w:val="Style7"/>
        <w:keepNext w:val="0"/>
        <w:keepLines w:val="0"/>
        <w:widowControl w:val="0"/>
        <w:shd w:val="clear" w:color="auto" w:fill="auto"/>
        <w:bidi w:val="0"/>
        <w:spacing w:before="0" w:after="400" w:line="240" w:lineRule="auto"/>
        <w:ind w:left="0" w:right="0" w:firstLine="0"/>
        <w:jc w:val="left"/>
      </w:pPr>
      <w:r>
        <w:rPr>
          <w:i/>
          <w:iCs/>
          <w:color w:val="000000"/>
          <w:spacing w:val="0"/>
          <w:w w:val="100"/>
          <w:position w:val="0"/>
          <w:shd w:val="clear" w:color="auto" w:fill="auto"/>
          <w:lang w:val="cs-CZ" w:eastAsia="cs-CZ" w:bidi="cs-CZ"/>
        </w:rPr>
        <w:t xml:space="preserve">Číslo smlouvy zhotovitele: </w:t>
      </w:r>
      <w:r>
        <w:rPr>
          <w:b/>
          <w:bCs/>
          <w:i/>
          <w:iCs/>
          <w:color w:val="000000"/>
          <w:spacing w:val="0"/>
          <w:w w:val="100"/>
          <w:position w:val="0"/>
          <w:shd w:val="clear" w:color="auto" w:fill="auto"/>
          <w:lang w:val="cs-CZ" w:eastAsia="cs-CZ" w:bidi="cs-CZ"/>
        </w:rPr>
        <w:t>20201001</w:t>
      </w:r>
    </w:p>
    <w:p>
      <w:pPr>
        <w:pStyle w:val="Style5"/>
        <w:keepNext w:val="0"/>
        <w:keepLines w:val="0"/>
        <w:widowControl w:val="0"/>
        <w:shd w:val="clear" w:color="auto" w:fill="auto"/>
        <w:bidi w:val="0"/>
        <w:spacing w:before="0" w:after="0" w:line="240" w:lineRule="auto"/>
        <w:ind w:left="4714" w:right="0" w:firstLine="0"/>
        <w:jc w:val="left"/>
      </w:pPr>
      <w:r>
        <w:rPr>
          <w:b/>
          <w:bCs/>
          <w:color w:val="000000"/>
          <w:spacing w:val="0"/>
          <w:w w:val="100"/>
          <w:position w:val="0"/>
          <w:shd w:val="clear" w:color="auto" w:fill="auto"/>
          <w:lang w:val="cs-CZ" w:eastAsia="cs-CZ" w:bidi="cs-CZ"/>
        </w:rPr>
        <w:t>Článek 1</w:t>
      </w:r>
    </w:p>
    <w:tbl>
      <w:tblPr>
        <w:tblOverlap w:val="never"/>
        <w:jc w:val="left"/>
        <w:tblLayout w:type="fixed"/>
      </w:tblPr>
      <w:tblGrid>
        <w:gridCol w:w="1872"/>
        <w:gridCol w:w="6475"/>
      </w:tblGrid>
      <w:tr>
        <w:trPr>
          <w:trHeight w:val="29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55"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3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Kosovská 1122/16, 586 01 Jihlava</w:t>
            </w:r>
          </w:p>
        </w:tc>
      </w:tr>
      <w:tr>
        <w:trPr>
          <w:trHeight w:val="398"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Ing. Radovan Necid, ředitel organizace</w:t>
            </w:r>
          </w:p>
        </w:tc>
      </w:tr>
    </w:tbl>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widowControl w:val="0"/>
        <w:spacing w:line="1" w:lineRule="exact"/>
      </w:pPr>
    </w:p>
    <w:tbl>
      <w:tblPr>
        <w:tblOverlap w:val="never"/>
        <w:jc w:val="left"/>
        <w:tblLayout w:type="fixed"/>
      </w:tblPr>
      <w:tblGrid>
        <w:gridCol w:w="1872"/>
        <w:gridCol w:w="6470"/>
      </w:tblGrid>
      <w:tr>
        <w:trPr>
          <w:trHeight w:val="365"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00090450</w:t>
            </w:r>
          </w:p>
        </w:tc>
      </w:tr>
      <w:tr>
        <w:trPr>
          <w:trHeight w:val="34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CZ00090450</w:t>
            </w:r>
          </w:p>
        </w:tc>
      </w:tr>
      <w:tr>
        <w:trPr>
          <w:trHeight w:val="317"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Kraj Vysočina</w:t>
            </w:r>
          </w:p>
        </w:tc>
      </w:tr>
    </w:tbl>
    <w:p>
      <w:pPr>
        <w:pStyle w:val="Style5"/>
        <w:keepNext w:val="0"/>
        <w:keepLines w:val="0"/>
        <w:widowControl w:val="0"/>
        <w:shd w:val="clear" w:color="auto" w:fill="auto"/>
        <w:bidi w:val="0"/>
        <w:spacing w:before="0" w:after="0" w:line="240" w:lineRule="auto"/>
        <w:ind w:left="38"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w:t>
      </w:r>
    </w:p>
    <w:p>
      <w:pPr>
        <w:widowControl w:val="0"/>
        <w:spacing w:after="1119" w:line="1" w:lineRule="exact"/>
      </w:pPr>
    </w:p>
    <w:p>
      <w:pPr>
        <w:widowControl w:val="0"/>
        <w:spacing w:line="1" w:lineRule="exact"/>
      </w:pPr>
    </w:p>
    <w:tbl>
      <w:tblPr>
        <w:tblOverlap w:val="never"/>
        <w:jc w:val="left"/>
        <w:tblLayout w:type="fixed"/>
      </w:tblPr>
      <w:tblGrid>
        <w:gridCol w:w="1810"/>
        <w:gridCol w:w="6490"/>
      </w:tblGrid>
      <w:tr>
        <w:trPr>
          <w:trHeight w:val="283"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Kucián statika s.r.o.</w:t>
            </w:r>
          </w:p>
        </w:tc>
      </w:tr>
      <w:tr>
        <w:trPr>
          <w:trHeight w:val="355"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17. listopadu 236, 530 02 Pardubice</w:t>
            </w:r>
          </w:p>
        </w:tc>
      </w:tr>
      <w:tr>
        <w:trPr>
          <w:trHeight w:val="31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Ing. Martinem Kuciánem, jednatelem</w:t>
            </w:r>
          </w:p>
        </w:tc>
      </w:tr>
    </w:tbl>
    <w:p>
      <w:pPr>
        <w:widowControl w:val="0"/>
        <w:spacing w:after="59" w:line="1" w:lineRule="exact"/>
      </w:pPr>
    </w:p>
    <w:p>
      <w:pPr>
        <w:widowControl w:val="0"/>
        <w:spacing w:line="1" w:lineRule="exact"/>
      </w:pPr>
    </w:p>
    <w:p>
      <w:pPr>
        <w:pStyle w:val="Style5"/>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zapsán v obchodním rejstříku: Spisová značka C 43660/KSHK Krajský soud v Hradci Králové Bankovní spojení:</w:t>
      </w:r>
    </w:p>
    <w:tbl>
      <w:tblPr>
        <w:tblOverlap w:val="never"/>
        <w:jc w:val="left"/>
        <w:tblLayout w:type="fixed"/>
      </w:tblPr>
      <w:tblGrid>
        <w:gridCol w:w="1810"/>
        <w:gridCol w:w="6490"/>
      </w:tblGrid>
      <w:tr>
        <w:trPr>
          <w:trHeight w:val="36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08055475</w:t>
            </w:r>
          </w:p>
        </w:tc>
      </w:tr>
      <w:tr>
        <w:trPr>
          <w:trHeight w:val="283"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CZ08055475</w:t>
            </w:r>
          </w:p>
        </w:tc>
      </w:tr>
    </w:tbl>
    <w:p>
      <w:pPr>
        <w:widowControl w:val="0"/>
        <w:spacing w:after="119" w:line="1" w:lineRule="exact"/>
      </w:pPr>
    </w:p>
    <w:p>
      <w:pPr>
        <w:pStyle w:val="Style7"/>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Zhotovitel</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680" w:line="240" w:lineRule="auto"/>
        <w:ind w:left="0" w:right="0" w:firstLine="0"/>
        <w:jc w:val="left"/>
      </w:pPr>
      <w:r>
        <w:rPr>
          <w:color w:val="000000"/>
          <w:spacing w:val="0"/>
          <w:w w:val="100"/>
          <w:position w:val="0"/>
          <w:shd w:val="clear" w:color="auto" w:fill="auto"/>
          <w:lang w:val="cs-CZ" w:eastAsia="cs-CZ" w:bidi="cs-CZ"/>
        </w:rPr>
        <w:t>(společně také jako „</w:t>
      </w:r>
      <w:r>
        <w:rPr>
          <w:b/>
          <w:bCs/>
          <w:i/>
          <w:i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i/>
          <w:i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cs-CZ" w:eastAsia="cs-CZ" w:bidi="cs-CZ"/>
        </w:rPr>
        <w:t>Článek 2</w:t>
        <w:br/>
        <w:t>Předmět dodatku</w:t>
      </w:r>
    </w:p>
    <w:p>
      <w:pPr>
        <w:pStyle w:val="Style7"/>
        <w:keepNext w:val="0"/>
        <w:keepLines w:val="0"/>
        <w:widowControl w:val="0"/>
        <w:numPr>
          <w:ilvl w:val="0"/>
          <w:numId w:val="1"/>
        </w:numPr>
        <w:shd w:val="clear" w:color="auto" w:fill="auto"/>
        <w:tabs>
          <w:tab w:pos="566" w:val="left"/>
        </w:tabs>
        <w:bidi w:val="0"/>
        <w:spacing w:before="0" w:after="60" w:line="240" w:lineRule="auto"/>
        <w:ind w:left="580" w:right="0" w:hanging="580"/>
        <w:jc w:val="left"/>
      </w:pPr>
      <w:r>
        <w:rPr>
          <w:color w:val="000000"/>
          <w:spacing w:val="0"/>
          <w:w w:val="100"/>
          <w:position w:val="0"/>
          <w:shd w:val="clear" w:color="auto" w:fill="auto"/>
          <w:lang w:val="cs-CZ" w:eastAsia="cs-CZ" w:bidi="cs-CZ"/>
        </w:rPr>
        <w:t>Smluvní strany se dohodly na změně Smlouvy o dílo, ve znění jejího Dodatku č. 1 (dále jen „</w:t>
      </w:r>
      <w:r>
        <w:rPr>
          <w:b/>
          <w:bCs/>
          <w:color w:val="000000"/>
          <w:spacing w:val="0"/>
          <w:w w:val="100"/>
          <w:position w:val="0"/>
          <w:shd w:val="clear" w:color="auto" w:fill="auto"/>
          <w:lang w:val="cs-CZ" w:eastAsia="cs-CZ" w:bidi="cs-CZ"/>
        </w:rPr>
        <w:t>Smlouva o dílo</w:t>
      </w:r>
      <w:r>
        <w:rPr>
          <w:color w:val="000000"/>
          <w:spacing w:val="0"/>
          <w:w w:val="100"/>
          <w:position w:val="0"/>
          <w:shd w:val="clear" w:color="auto" w:fill="auto"/>
          <w:lang w:val="cs-CZ" w:eastAsia="cs-CZ" w:bidi="cs-CZ"/>
        </w:rPr>
        <w:t>“), jakož i na ukončení všech závazků plynoucích ze smlouvy (ať již existujících, či budoucích), a to následujícím způsobem, přičemž níže uvedená ujednání mají přednost před jakýmkoliv ujednáním Smlouvy o dílo (tedy zejména, bude-li některé z níže uvedených ujednání v rozporu s ujednáním obsaženým ve Smlouvě o dílo, použije se výhradně níže uvedené ujednání namísto příslušných ujednání smlouvy):</w:t>
      </w:r>
    </w:p>
    <w:p>
      <w:pPr>
        <w:pStyle w:val="Style7"/>
        <w:keepNext w:val="0"/>
        <w:keepLines w:val="0"/>
        <w:widowControl w:val="0"/>
        <w:shd w:val="clear" w:color="auto" w:fill="auto"/>
        <w:bidi w:val="0"/>
        <w:spacing w:before="0" w:after="140" w:line="240" w:lineRule="auto"/>
        <w:ind w:left="1060" w:right="0" w:firstLine="0"/>
        <w:jc w:val="right"/>
      </w:pPr>
      <w:r>
        <w:rPr>
          <w:color w:val="000000"/>
          <w:spacing w:val="0"/>
          <w:w w:val="100"/>
          <w:position w:val="0"/>
          <w:shd w:val="clear" w:color="auto" w:fill="auto"/>
          <w:lang w:val="cs-CZ" w:eastAsia="cs-CZ" w:bidi="cs-CZ"/>
        </w:rPr>
        <w:t>a. Zhotovitel se zavazuje předat Objednateli jedno (1) kompletní vyhotovení projektové dokumentace PDPS bez oceněného a neoceněného soupisu prací a bez havarijního a povodňového plánu, a to</w:t>
      </w:r>
      <w:r>
        <w:br w:type="page"/>
      </w:r>
    </w:p>
    <w:p>
      <w:pPr>
        <w:pStyle w:val="Style7"/>
        <w:keepNext w:val="0"/>
        <w:keepLines w:val="0"/>
        <w:widowControl w:val="0"/>
        <w:shd w:val="clear" w:color="auto" w:fill="auto"/>
        <w:bidi w:val="0"/>
        <w:spacing w:before="0" w:line="240" w:lineRule="auto"/>
        <w:ind w:left="1460" w:right="0" w:firstLine="0"/>
        <w:jc w:val="both"/>
      </w:pPr>
      <w:r>
        <mc:AlternateContent>
          <mc:Choice Requires="wps">
            <w:drawing>
              <wp:anchor distT="228600" distB="0" distL="267970" distR="494030" simplePos="0" relativeHeight="125829378" behindDoc="0" locked="0" layoutInCell="1" allowOverlap="1">
                <wp:simplePos x="0" y="0"/>
                <wp:positionH relativeFrom="page">
                  <wp:posOffset>1681480</wp:posOffset>
                </wp:positionH>
                <wp:positionV relativeFrom="paragraph">
                  <wp:posOffset>749300</wp:posOffset>
                </wp:positionV>
                <wp:extent cx="5139055" cy="2258695"/>
                <wp:wrapTopAndBottom/>
                <wp:docPr id="1" name="Shape 1"/>
                <a:graphic xmlns:a="http://schemas.openxmlformats.org/drawingml/2006/main">
                  <a:graphicData uri="http://schemas.microsoft.com/office/word/2010/wordprocessingShape">
                    <wps:wsp>
                      <wps:cNvSpPr txBox="1"/>
                      <wps:spPr>
                        <a:xfrm>
                          <a:ext cx="5139055" cy="2258695"/>
                        </a:xfrm>
                        <a:prstGeom prst="rect"/>
                        <a:noFill/>
                      </wps:spPr>
                      <wps:txbx>
                        <w:txbxContent>
                          <w:tbl>
                            <w:tblPr>
                              <w:tblOverlap w:val="never"/>
                              <w:jc w:val="left"/>
                              <w:tblLayout w:type="fixed"/>
                            </w:tblPr>
                            <w:tblGrid>
                              <w:gridCol w:w="571"/>
                              <w:gridCol w:w="4392"/>
                              <w:gridCol w:w="3130"/>
                            </w:tblGrid>
                            <w:tr>
                              <w:trPr>
                                <w:tblHeader/>
                                <w:trHeight w:val="1406"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120" w:after="0" w:line="240" w:lineRule="auto"/>
                                    <w:ind w:left="0" w:right="0" w:firstLine="180"/>
                                    <w:jc w:val="lef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Vypracování projektové dokumentace pro společné územní a stavební povolení (DÚSP) v rozsahu dle technických podmínek v zadávací dokumentaci včetně zajištění pravomocného územního a stavebního povolení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100" w:after="0" w:line="240" w:lineRule="auto"/>
                                    <w:ind w:left="0" w:right="0" w:firstLine="0"/>
                                    <w:jc w:val="left"/>
                                  </w:pPr>
                                  <w:r>
                                    <w:rPr>
                                      <w:color w:val="000000"/>
                                      <w:spacing w:val="0"/>
                                      <w:w w:val="100"/>
                                      <w:position w:val="0"/>
                                      <w:shd w:val="clear" w:color="auto" w:fill="auto"/>
                                      <w:lang w:val="cs-CZ" w:eastAsia="cs-CZ" w:bidi="cs-CZ"/>
                                    </w:rPr>
                                    <w:t>79 100,00 Kč bez DPH</w:t>
                                  </w:r>
                                </w:p>
                              </w:tc>
                            </w:tr>
                            <w:tr>
                              <w:trPr>
                                <w:trHeight w:val="701"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Vypracování projektové dokumentace pro provedení stavby (PDPS) v rozsahu dle technických podmínek v zadávací dokumentaci</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54 600,00 Kč bez DPH</w:t>
                                  </w:r>
                                </w:p>
                              </w:tc>
                            </w:tr>
                            <w:tr>
                              <w:trPr>
                                <w:trHeight w:val="4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za dílčí plnění bez DPH</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133 700,00 Kč bez DPH</w:t>
                                  </w:r>
                                </w:p>
                              </w:tc>
                            </w:tr>
                            <w:tr>
                              <w:trPr>
                                <w:trHeight w:val="4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28 077,00 Kč</w:t>
                                  </w:r>
                                </w:p>
                              </w:tc>
                            </w:tr>
                            <w:tr>
                              <w:trPr>
                                <w:trHeight w:val="49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za dílčí plnění s DPH</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161 777,00 Kč včetně DPH</w:t>
                                  </w:r>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32.40000000000001pt;margin-top:59.pt;width:404.64999999999998pt;height:177.84999999999999pt;z-index:-125829375;mso-wrap-distance-left:21.100000000000001pt;mso-wrap-distance-top:18.pt;mso-wrap-distance-right:38.899999999999999pt;mso-position-horizontal-relative:page" filled="f" stroked="f">
                <v:textbox inset="0,0,0,0">
                  <w:txbxContent>
                    <w:tbl>
                      <w:tblPr>
                        <w:tblOverlap w:val="never"/>
                        <w:jc w:val="left"/>
                        <w:tblLayout w:type="fixed"/>
                      </w:tblPr>
                      <w:tblGrid>
                        <w:gridCol w:w="571"/>
                        <w:gridCol w:w="4392"/>
                        <w:gridCol w:w="3130"/>
                      </w:tblGrid>
                      <w:tr>
                        <w:trPr>
                          <w:tblHeader/>
                          <w:trHeight w:val="1406"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120" w:after="0" w:line="240" w:lineRule="auto"/>
                              <w:ind w:left="0" w:right="0" w:firstLine="180"/>
                              <w:jc w:val="lef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Vypracování projektové dokumentace pro společné územní a stavební povolení (DÚSP) v rozsahu dle technických podmínek v zadávací dokumentaci včetně zajištění pravomocného územního a stavebního povolení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100" w:after="0" w:line="240" w:lineRule="auto"/>
                              <w:ind w:left="0" w:right="0" w:firstLine="0"/>
                              <w:jc w:val="left"/>
                            </w:pPr>
                            <w:r>
                              <w:rPr>
                                <w:color w:val="000000"/>
                                <w:spacing w:val="0"/>
                                <w:w w:val="100"/>
                                <w:position w:val="0"/>
                                <w:shd w:val="clear" w:color="auto" w:fill="auto"/>
                                <w:lang w:val="cs-CZ" w:eastAsia="cs-CZ" w:bidi="cs-CZ"/>
                              </w:rPr>
                              <w:t>79 100,00 Kč bez DPH</w:t>
                            </w:r>
                          </w:p>
                        </w:tc>
                      </w:tr>
                      <w:tr>
                        <w:trPr>
                          <w:trHeight w:val="701"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Vypracování projektové dokumentace pro provedení stavby (PDPS) v rozsahu dle technických podmínek v zadávací dokumentaci</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54 600,00 Kč bez DPH</w:t>
                            </w:r>
                          </w:p>
                        </w:tc>
                      </w:tr>
                      <w:tr>
                        <w:trPr>
                          <w:trHeight w:val="4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za dílčí plnění bez DPH</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133 700,00 Kč bez DPH</w:t>
                            </w:r>
                          </w:p>
                        </w:tc>
                      </w:tr>
                      <w:tr>
                        <w:trPr>
                          <w:trHeight w:val="4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28 077,00 Kč</w:t>
                            </w:r>
                          </w:p>
                        </w:tc>
                      </w:tr>
                      <w:tr>
                        <w:trPr>
                          <w:trHeight w:val="49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za dílčí plnění s DPH</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161 777,00 Kč včetně DPH</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1413510</wp:posOffset>
                </wp:positionH>
                <wp:positionV relativeFrom="paragraph">
                  <wp:posOffset>520700</wp:posOffset>
                </wp:positionV>
                <wp:extent cx="5901055" cy="179705"/>
                <wp:wrapNone/>
                <wp:docPr id="3" name="Shape 3"/>
                <a:graphic xmlns:a="http://schemas.openxmlformats.org/drawingml/2006/main">
                  <a:graphicData uri="http://schemas.microsoft.com/office/word/2010/wordprocessingShape">
                    <wps:wsp>
                      <wps:cNvSpPr txBox="1"/>
                      <wps:spPr>
                        <a:xfrm>
                          <a:ext cx="5901055" cy="1797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 Objednatel se zavazuje uhradit Zhotoviteli částku ve výši</w:t>
                            </w:r>
                          </w:p>
                        </w:txbxContent>
                      </wps:txbx>
                      <wps:bodyPr lIns="0" tIns="0" rIns="0" bIns="0">
                        <a:noAutoFit/>
                      </wps:bodyPr>
                    </wps:wsp>
                  </a:graphicData>
                </a:graphic>
              </wp:anchor>
            </w:drawing>
          </mc:Choice>
          <mc:Fallback>
            <w:pict>
              <v:shape id="_x0000_s1029" type="#_x0000_t202" style="position:absolute;margin-left:111.3pt;margin-top:41.pt;width:464.64999999999998pt;height:14.15pt;z-index:25165772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 Objednatel se zavazuje uhradit Zhotoviteli částku ve výši</w:t>
                      </w:r>
                    </w:p>
                  </w:txbxContent>
                </v:textbox>
                <w10:wrap anchorx="page"/>
              </v:shape>
            </w:pict>
          </mc:Fallback>
        </mc:AlternateContent>
      </w:r>
      <w:r>
        <w:rPr>
          <w:color w:val="000000"/>
          <w:spacing w:val="0"/>
          <w:w w:val="100"/>
          <w:position w:val="0"/>
          <w:shd w:val="clear" w:color="auto" w:fill="auto"/>
          <w:lang w:val="cs-CZ" w:eastAsia="cs-CZ" w:bidi="cs-CZ"/>
        </w:rPr>
        <w:t>v podobě, která tvoří elektronickou přílohu č. 1 tohoto Dodatku č. 2, do patnácti (15) dnů ode dne nabytí účinnosti tohoto Dodatku č. 2. Předání ze strany Zhotovitele se uskuteční poštovní přepravou, tj. zasláním příslušného vyhotovení projektové dokumentace na adresu Objednatele.</w:t>
      </w:r>
    </w:p>
    <w:p>
      <w:pPr>
        <w:pStyle w:val="Style7"/>
        <w:keepNext w:val="0"/>
        <w:keepLines w:val="0"/>
        <w:widowControl w:val="0"/>
        <w:shd w:val="clear" w:color="auto" w:fill="auto"/>
        <w:bidi w:val="0"/>
        <w:spacing w:before="0" w:line="240" w:lineRule="auto"/>
        <w:ind w:left="1460" w:right="0" w:firstLine="0"/>
        <w:jc w:val="both"/>
      </w:pPr>
      <w:r>
        <w:rPr>
          <w:color w:val="000000"/>
          <w:spacing w:val="0"/>
          <w:w w:val="100"/>
          <w:position w:val="0"/>
          <w:shd w:val="clear" w:color="auto" w:fill="auto"/>
          <w:lang w:val="cs-CZ" w:eastAsia="cs-CZ" w:bidi="cs-CZ"/>
        </w:rPr>
        <w:t>do patnácti (15) dnů ode dne doručení vyhotovení dokumentace PDPS dle bodu a. odst. 2.1. tohoto Dodatku č. 2. K úhradě částky 161 777,00 Kč dojde na základě faktury vystavené Zhotovitelem a doručené Objednateli.</w:t>
      </w:r>
    </w:p>
    <w:p>
      <w:pPr>
        <w:pStyle w:val="Style7"/>
        <w:keepNext w:val="0"/>
        <w:keepLines w:val="0"/>
        <w:widowControl w:val="0"/>
        <w:shd w:val="clear" w:color="auto" w:fill="auto"/>
        <w:bidi w:val="0"/>
        <w:spacing w:before="0" w:line="240" w:lineRule="auto"/>
        <w:ind w:left="1460" w:right="0" w:hanging="360"/>
        <w:jc w:val="both"/>
      </w:pPr>
      <w:r>
        <w:rPr>
          <w:color w:val="000000"/>
          <w:spacing w:val="0"/>
          <w:w w:val="100"/>
          <w:position w:val="0"/>
          <w:shd w:val="clear" w:color="auto" w:fill="auto"/>
          <w:lang w:val="cs-CZ" w:eastAsia="cs-CZ" w:bidi="cs-CZ"/>
        </w:rPr>
        <w:t>c. Předáním vyhotovení dokumentace PDPS dle bodu a. odst. 2.1. tohoto Dodatku č. 2 dojde ke splnění Závazků Zhotovitele ze Smlouvy o dílo (provedení díla) a vzniku práva Zhotovitele na zaplacení ceny díla dle bodu a. odst. 2.1. tohoto Dodatku č. 2. Smluvní strany se výslovně dohodly, že další závazky Zhotovitele ze Smlouvy o díla zanikají, včetně závazku Zhotovitele k zajištění autorského dozoru při realizaci stavby.</w:t>
      </w:r>
    </w:p>
    <w:p>
      <w:pPr>
        <w:pStyle w:val="Style7"/>
        <w:keepNext w:val="0"/>
        <w:keepLines w:val="0"/>
        <w:widowControl w:val="0"/>
        <w:shd w:val="clear" w:color="auto" w:fill="auto"/>
        <w:bidi w:val="0"/>
        <w:spacing w:before="0" w:line="240" w:lineRule="auto"/>
        <w:ind w:left="1460" w:right="0" w:hanging="360"/>
        <w:jc w:val="both"/>
      </w:pPr>
      <w:r>
        <w:rPr>
          <w:color w:val="000000"/>
          <w:spacing w:val="0"/>
          <w:w w:val="100"/>
          <w:position w:val="0"/>
          <w:shd w:val="clear" w:color="auto" w:fill="auto"/>
          <w:lang w:val="cs-CZ" w:eastAsia="cs-CZ" w:bidi="cs-CZ"/>
        </w:rPr>
        <w:t>d. Smluvní strany se dohodly, že Zhotovitel se zprošťuje jakékoliv odpovědnosti týkající se plnění poskytnutého dle Smlouvy o dílo, zejména dokumentace DÚSP a PDPS, včetně odpovědnosti za vady, za náhradu újmy či jakékoliv jiné odpovědnosti související s poskytnutým plněním, včetně ve věci vydaného společného územního a stavebního povolení, tj. povolení vydaného Městským úřadem Bystřice nad Pernštejnem, odborem územního plánování a stavebního řádu dne 17.1.2022, sp. zn. SBYS/20852/2021/OÚP/Ol, č.j. BYS 1093/2022. Objednatel je oprávněn předmět plnění Zhotovitele dle předchozí věty jakýmkoliv způsobem využít, přebírá však za toto využití plnou odpovědnost; společného územní a stavební povolení se Objednatel zavazuje nevyužít, resp. Objednatel prohlašuje, že stavba „rekonstrukce mostu III/38714 Skorotice - most ev. č. 38714-4“ nebude realizována dle dokumentace předávané dle bodu a. odst. 2.1. tohoto Dodatku č. 2. Objednatel je oprávněn rekonstrukci mostu realizovat na základě v budoucnu vydané změny stavby před dokončením, která bude vycházet z již vydaného společného územního a stavebního povolení, pro tuto změnu však nebude využita dokumentace předaná a uhrazená dle tohoto dodatku.</w:t>
      </w:r>
    </w:p>
    <w:p>
      <w:pPr>
        <w:pStyle w:val="Style7"/>
        <w:keepNext w:val="0"/>
        <w:keepLines w:val="0"/>
        <w:widowControl w:val="0"/>
        <w:numPr>
          <w:ilvl w:val="0"/>
          <w:numId w:val="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dohodly, že splněním povinností dle bodu a. a b. odst. 2.1. tohoto Dodatku č. 2 budou jejich závazky ze Smlouvy o dílo či se Smlouvou o dílo související beze zbytku vyrovnány, přičemž závazky neuvedené v tomto Dodatku č. 2 tímto okamžikem zaniknou. Zanikají zejména práva na jakékoliv plnění či zaplacení jakýchkoliv pohledávek, ať již splatných či zatím ještě nesplatných nebo podmíněných, včetně práv a povinností budoucích, včetně práva na jakékoliv další plnění, práva na zaplacení úroků z prodlení, smluvních pokut či jakýchkoliv jiných penalizací či sankcí, náhrady škody a jiné újmy, vydání bezdůvodného obohacení, práv z vadného plněné či jiných práv, přičemž pro případ, že by takové právo či nárok vznikl, příslušná smluvní strana se jej tímto vzdává resp., v případě práv a nároků budoucích, zavazuje vzdát (generální narovnání).</w:t>
      </w:r>
    </w:p>
    <w:p>
      <w:pPr>
        <w:pStyle w:val="Style7"/>
        <w:keepNext w:val="0"/>
        <w:keepLines w:val="0"/>
        <w:widowControl w:val="0"/>
        <w:numPr>
          <w:ilvl w:val="0"/>
          <w:numId w:val="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se zavazuje vzít zpět svou žalobu podanou u Okresního soudu v Jihlavě, sp. zn. 18 C 259/2022, a to do patnácti (15) dnů ode dne úhrady částky dle odst. 2.1. bodu b. tohoto Dodatku č. 2. Smluvní strany se dohodly, že každá strana si ponese náklady soudního řízení samostatně, tedy žádný z účastníků nebude mít právo na náhradu nákladů řízení.</w:t>
      </w:r>
      <w:r>
        <w:br w:type="page"/>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7"/>
        <w:keepNext w:val="0"/>
        <w:keepLines w:val="0"/>
        <w:widowControl w:val="0"/>
        <w:shd w:val="clear" w:color="auto" w:fill="auto"/>
        <w:bidi w:val="0"/>
        <w:spacing w:before="0" w:after="240" w:line="240" w:lineRule="auto"/>
        <w:ind w:left="0" w:right="0" w:firstLine="0"/>
        <w:jc w:val="center"/>
      </w:pPr>
      <w:r>
        <w:rPr>
          <w:b/>
          <w:bCs/>
          <w:color w:val="000000"/>
          <w:spacing w:val="0"/>
          <w:w w:val="100"/>
          <w:position w:val="0"/>
          <w:shd w:val="clear" w:color="auto" w:fill="auto"/>
          <w:lang w:val="cs-CZ" w:eastAsia="cs-CZ" w:bidi="cs-CZ"/>
        </w:rPr>
        <w:t>Ostatní ujednání</w:t>
      </w:r>
    </w:p>
    <w:p>
      <w:pPr>
        <w:pStyle w:val="Style7"/>
        <w:keepNext w:val="0"/>
        <w:keepLines w:val="0"/>
        <w:widowControl w:val="0"/>
        <w:numPr>
          <w:ilvl w:val="1"/>
          <w:numId w:val="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Dodatek č. 2 je nedílnou součástí Smlouvy o dílo.</w:t>
      </w:r>
    </w:p>
    <w:p>
      <w:pPr>
        <w:pStyle w:val="Style7"/>
        <w:keepNext w:val="0"/>
        <w:keepLines w:val="0"/>
        <w:widowControl w:val="0"/>
        <w:numPr>
          <w:ilvl w:val="1"/>
          <w:numId w:val="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Dodatek č. 2 je vyhotoven v elektronické podobě, přičemž obě smluvní strany obdrží jeho elektronický originál.</w:t>
      </w:r>
    </w:p>
    <w:p>
      <w:pPr>
        <w:pStyle w:val="Style7"/>
        <w:keepNext w:val="0"/>
        <w:keepLines w:val="0"/>
        <w:widowControl w:val="0"/>
        <w:numPr>
          <w:ilvl w:val="1"/>
          <w:numId w:val="1"/>
        </w:numPr>
        <w:shd w:val="clear" w:color="auto" w:fill="auto"/>
        <w:tabs>
          <w:tab w:pos="567" w:val="left"/>
        </w:tabs>
        <w:bidi w:val="0"/>
        <w:spacing w:before="0" w:line="240" w:lineRule="auto"/>
        <w:ind w:left="580" w:right="0" w:hanging="580"/>
        <w:jc w:val="both"/>
      </w:pPr>
      <w:r>
        <w:rPr>
          <w:color w:val="000000"/>
          <w:spacing w:val="0"/>
          <w:w w:val="100"/>
          <w:position w:val="0"/>
          <w:shd w:val="clear" w:color="auto" w:fill="auto"/>
          <w:lang w:val="cs-CZ" w:eastAsia="cs-CZ" w:bidi="cs-CZ"/>
        </w:rPr>
        <w:t>Nedílnou součástí Dodatku č. 2 je příloha č. 1 zachycující podobu a rozsah dokumentace, jenž má být Zhotovitelem předána Objednateli ve fyzické podobě dle bodu a. odst. 2.1. tohoto Dodatku č. 2.</w:t>
      </w:r>
    </w:p>
    <w:p>
      <w:pPr>
        <w:pStyle w:val="Style7"/>
        <w:keepNext w:val="0"/>
        <w:keepLines w:val="0"/>
        <w:widowControl w:val="0"/>
        <w:numPr>
          <w:ilvl w:val="1"/>
          <w:numId w:val="1"/>
        </w:numPr>
        <w:shd w:val="clear" w:color="auto" w:fill="auto"/>
        <w:tabs>
          <w:tab w:pos="567"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Dodatek č. 2 je </w:t>
      </w:r>
      <w:r>
        <w:rPr>
          <w:b/>
          <w:bCs/>
          <w:color w:val="000000"/>
          <w:spacing w:val="0"/>
          <w:w w:val="100"/>
          <w:position w:val="0"/>
          <w:u w:val="single"/>
          <w:shd w:val="clear" w:color="auto" w:fill="auto"/>
          <w:lang w:val="cs-CZ" w:eastAsia="cs-CZ" w:bidi="cs-CZ"/>
        </w:rPr>
        <w:t>platný</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tohoto dodatku a jeho jednotlivých příloh, nejsou-li součástí jediného elektronického dokumentu (tj. do všech samostatných souborů tvořících v souhrnu dodatek, a to oběma smluvními stranami).</w:t>
      </w:r>
    </w:p>
    <w:p>
      <w:pPr>
        <w:pStyle w:val="Style7"/>
        <w:keepNext w:val="0"/>
        <w:keepLines w:val="0"/>
        <w:widowControl w:val="0"/>
        <w:numPr>
          <w:ilvl w:val="1"/>
          <w:numId w:val="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Dodatek č. 2 je </w:t>
      </w:r>
      <w:r>
        <w:rPr>
          <w:b/>
          <w:bCs/>
          <w:color w:val="000000"/>
          <w:spacing w:val="0"/>
          <w:w w:val="100"/>
          <w:position w:val="0"/>
          <w:u w:val="single"/>
          <w:shd w:val="clear" w:color="auto" w:fill="auto"/>
          <w:lang w:val="cs-CZ" w:eastAsia="cs-CZ" w:bidi="cs-CZ"/>
        </w:rPr>
        <w:t>účinný</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jeho uveřejnění v registru smluv.</w:t>
      </w:r>
    </w:p>
    <w:p>
      <w:pPr>
        <w:pStyle w:val="Style7"/>
        <w:keepNext w:val="0"/>
        <w:keepLines w:val="0"/>
        <w:widowControl w:val="0"/>
        <w:numPr>
          <w:ilvl w:val="1"/>
          <w:numId w:val="1"/>
        </w:numPr>
        <w:shd w:val="clear" w:color="auto" w:fill="auto"/>
        <w:tabs>
          <w:tab w:pos="567" w:val="left"/>
        </w:tabs>
        <w:bidi w:val="0"/>
        <w:spacing w:before="0" w:line="240" w:lineRule="auto"/>
        <w:ind w:left="580" w:right="0" w:hanging="580"/>
        <w:jc w:val="both"/>
      </w:pPr>
      <w:r>
        <w:rPr>
          <w:color w:val="000000"/>
          <w:spacing w:val="0"/>
          <w:w w:val="100"/>
          <w:position w:val="0"/>
          <w:shd w:val="clear" w:color="auto" w:fill="auto"/>
          <w:lang w:val="cs-CZ" w:eastAsia="cs-CZ" w:bidi="cs-CZ"/>
        </w:rPr>
        <w:t>Dodatek č. 2 podléhá zveřejnění dle zákona č. 340/2015 Sb. o zvláštních podmínkách účinnosti některých smluv, uveřejňování těchto smluv a o registru smluv (zákon o registru smluv), v platném a účinném znění.</w:t>
      </w:r>
    </w:p>
    <w:p>
      <w:pPr>
        <w:pStyle w:val="Style7"/>
        <w:keepNext w:val="0"/>
        <w:keepLines w:val="0"/>
        <w:widowControl w:val="0"/>
        <w:numPr>
          <w:ilvl w:val="1"/>
          <w:numId w:val="1"/>
        </w:numPr>
        <w:shd w:val="clear" w:color="auto" w:fill="auto"/>
        <w:tabs>
          <w:tab w:pos="567"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dohodly, že zákonnou povinnost dle § 5 odst. 2 zákona č. 340/2015 Sb., o zvláštních podmínkách účinnosti některých smluv, uveřejňování těchto smluv a o registru smluv (zákon o registru smluv) zajistí objednatel.</w:t>
      </w:r>
    </w:p>
    <w:p>
      <w:pPr>
        <w:pStyle w:val="Style7"/>
        <w:keepNext w:val="0"/>
        <w:keepLines w:val="0"/>
        <w:widowControl w:val="0"/>
        <w:numPr>
          <w:ilvl w:val="1"/>
          <w:numId w:val="1"/>
        </w:numPr>
        <w:shd w:val="clear" w:color="auto" w:fill="auto"/>
        <w:tabs>
          <w:tab w:pos="567" w:val="left"/>
        </w:tabs>
        <w:bidi w:val="0"/>
        <w:spacing w:before="0" w:after="420" w:line="240" w:lineRule="auto"/>
        <w:ind w:left="580" w:right="0" w:hanging="580"/>
        <w:jc w:val="both"/>
      </w:pPr>
      <w:r>
        <w:rPr>
          <w:color w:val="000000"/>
          <w:spacing w:val="0"/>
          <w:w w:val="100"/>
          <w:position w:val="0"/>
          <w:shd w:val="clear" w:color="auto" w:fill="auto"/>
          <w:lang w:val="cs-CZ" w:eastAsia="cs-CZ" w:bidi="cs-CZ"/>
        </w:rPr>
        <w:t>Obě smluvní strany potvrzují autentičnost tohoto dodatku a prohlašují, že si jej přečetly, s jeho obsahem souhlasí, že Dodatek č. 2 byl sepsán na základě pravdivých údajů, z jejich pravé a svobodné vůle a nebyl uzavřen v tísni za jednostranně nevýhodných podmínek.</w:t>
      </w:r>
    </w:p>
    <w:p>
      <w:pPr>
        <w:pStyle w:val="Style7"/>
        <w:keepNext w:val="0"/>
        <w:keepLines w:val="0"/>
        <w:widowControl w:val="0"/>
        <w:shd w:val="clear" w:color="auto" w:fill="auto"/>
        <w:bidi w:val="0"/>
        <w:spacing w:before="0" w:after="500" w:line="240" w:lineRule="auto"/>
        <w:ind w:left="0" w:right="0" w:firstLine="0"/>
        <w:jc w:val="both"/>
      </w:pPr>
      <w:r>
        <w:rPr>
          <w:color w:val="000000"/>
          <w:spacing w:val="0"/>
          <w:w w:val="100"/>
          <w:position w:val="0"/>
          <w:shd w:val="clear" w:color="auto" w:fill="auto"/>
          <w:lang w:val="cs-CZ" w:eastAsia="cs-CZ" w:bidi="cs-CZ"/>
        </w:rPr>
        <w:t>NA DŮKAZ SVÉHO SOUHLASU S OBSAHEM TOHOTO DODATKU K NĚMU SMLUVNÍ STRANY PŘIPOJILY SVÉ UZNÁVANÉ ELEKTRONICKÉ PODPISY DLE ZÁKONA Č. 297/2016 SB., O SLUŽBÁCH VYTVÁŘEJÍCÍCH DŮVĚRU PRO ELEKTRONICKÉ TRANSAKCE, VE ZNĚNÍ POZDĚJŠÍCH PŘEDPISŮ.</w:t>
      </w:r>
    </w:p>
    <w:p>
      <w:pPr>
        <w:pStyle w:val="Style7"/>
        <w:keepNext w:val="0"/>
        <w:keepLines w:val="0"/>
        <w:widowControl w:val="0"/>
        <w:shd w:val="clear" w:color="auto" w:fill="auto"/>
        <w:bidi w:val="0"/>
        <w:spacing w:before="0" w:after="1600" w:line="240" w:lineRule="auto"/>
        <w:ind w:left="0" w:right="0" w:firstLine="860"/>
        <w:jc w:val="left"/>
      </w:pPr>
      <w:r>
        <mc:AlternateContent>
          <mc:Choice Requires="wps">
            <w:drawing>
              <wp:anchor distT="0" distB="0" distL="114300" distR="114300" simplePos="0" relativeHeight="125829380" behindDoc="0" locked="0" layoutInCell="1" allowOverlap="1">
                <wp:simplePos x="0" y="0"/>
                <wp:positionH relativeFrom="page">
                  <wp:posOffset>4302760</wp:posOffset>
                </wp:positionH>
                <wp:positionV relativeFrom="paragraph">
                  <wp:posOffset>12700</wp:posOffset>
                </wp:positionV>
                <wp:extent cx="554990" cy="170815"/>
                <wp:wrapSquare wrapText="left"/>
                <wp:docPr id="5" name="Shape 5"/>
                <a:graphic xmlns:a="http://schemas.openxmlformats.org/drawingml/2006/main">
                  <a:graphicData uri="http://schemas.microsoft.com/office/word/2010/wordprocessingShape">
                    <wps:wsp>
                      <wps:cNvSpPr txBox="1"/>
                      <wps:spPr>
                        <a:xfrm>
                          <a:ext cx="554990" cy="1708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wps:txbx>
                      <wps:bodyPr wrap="none" lIns="0" tIns="0" rIns="0" bIns="0">
                        <a:noAutoFit/>
                      </wps:bodyPr>
                    </wps:wsp>
                  </a:graphicData>
                </a:graphic>
              </wp:anchor>
            </w:drawing>
          </mc:Choice>
          <mc:Fallback>
            <w:pict>
              <v:shape id="_x0000_s1031" type="#_x0000_t202" style="position:absolute;margin-left:338.80000000000001pt;margin-top:1.pt;width:43.700000000000003pt;height:13.449999999999999pt;z-index:-125829373;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v:textbox>
                <w10:wrap type="square" side="left" anchorx="page"/>
              </v:shape>
            </w:pict>
          </mc:Fallback>
        </mc:AlternateContent>
      </w:r>
      <w:r>
        <w:rPr>
          <w:color w:val="000000"/>
          <w:spacing w:val="0"/>
          <w:w w:val="100"/>
          <w:position w:val="0"/>
          <w:shd w:val="clear" w:color="auto" w:fill="auto"/>
          <w:lang w:val="cs-CZ" w:eastAsia="cs-CZ" w:bidi="cs-CZ"/>
        </w:rPr>
        <w:t>V Pardubicích</w:t>
      </w:r>
    </w:p>
    <w:p>
      <w:pPr>
        <w:pStyle w:val="Style7"/>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50800" distR="50800" simplePos="0" relativeHeight="125829382" behindDoc="0" locked="0" layoutInCell="1" allowOverlap="1">
                <wp:simplePos x="0" y="0"/>
                <wp:positionH relativeFrom="page">
                  <wp:posOffset>2153920</wp:posOffset>
                </wp:positionH>
                <wp:positionV relativeFrom="paragraph">
                  <wp:posOffset>12700</wp:posOffset>
                </wp:positionV>
                <wp:extent cx="1155065" cy="463550"/>
                <wp:wrapSquare wrapText="right"/>
                <wp:docPr id="7" name="Shape 7"/>
                <a:graphic xmlns:a="http://schemas.openxmlformats.org/drawingml/2006/main">
                  <a:graphicData uri="http://schemas.microsoft.com/office/word/2010/wordprocessingShape">
                    <wps:wsp>
                      <wps:cNvSpPr txBox="1"/>
                      <wps:spPr>
                        <a:xfrm>
                          <a:ext cx="1155065" cy="4635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Martin Kucián</w:t>
                              <w:br/>
                              <w:t>jednatel společnosti</w:t>
                              <w:br/>
                              <w:t>Kucián statika s.r.o.</w:t>
                            </w:r>
                          </w:p>
                        </w:txbxContent>
                      </wps:txbx>
                      <wps:bodyPr lIns="0" tIns="0" rIns="0" bIns="0">
                        <a:noAutoFit/>
                      </wps:bodyPr>
                    </wps:wsp>
                  </a:graphicData>
                </a:graphic>
              </wp:anchor>
            </w:drawing>
          </mc:Choice>
          <mc:Fallback>
            <w:pict>
              <v:shape id="_x0000_s1033" type="#_x0000_t202" style="position:absolute;margin-left:169.59999999999999pt;margin-top:1.pt;width:90.950000000000003pt;height:36.5pt;z-index:-125829371;mso-wrap-distance-left:4.pt;mso-wrap-distance-right:4.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Martin Kucián</w:t>
                        <w:br/>
                        <w:t>jednatel společnosti</w:t>
                        <w:br/>
                        <w:t>Kucián statika s.r.o.</w:t>
                      </w:r>
                    </w:p>
                  </w:txbxContent>
                </v:textbox>
                <w10:wrap type="square" side="right" anchorx="page"/>
              </v:shape>
            </w:pict>
          </mc:Fallback>
        </mc:AlternateContent>
      </w:r>
      <w:r>
        <w:rPr>
          <w:color w:val="000000"/>
          <w:spacing w:val="0"/>
          <w:w w:val="100"/>
          <w:position w:val="0"/>
          <w:shd w:val="clear" w:color="auto" w:fill="auto"/>
          <w:lang w:val="cs-CZ" w:eastAsia="cs-CZ" w:bidi="cs-CZ"/>
        </w:rPr>
        <w:t>Ing. Radovan Necid</w:t>
        <w:br/>
        <w:t>ředitel organizace</w:t>
      </w:r>
    </w:p>
    <w:p>
      <w:pPr>
        <w:pStyle w:val="Style7"/>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Krajská správa a údržba silnic Vysočiny,</w:t>
        <w:br/>
        <w:t>příspěvková organizace</w:t>
      </w:r>
    </w:p>
    <w:sectPr>
      <w:footerReference w:type="default" r:id="rId5"/>
      <w:footnotePr>
        <w:pos w:val="pageBottom"/>
        <w:numFmt w:val="decimal"/>
        <w:numRestart w:val="continuous"/>
      </w:footnotePr>
      <w:pgSz w:w="12240" w:h="15840"/>
      <w:pgMar w:top="1229" w:left="1146" w:right="712" w:bottom="1451" w:header="801"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3723640</wp:posOffset>
              </wp:positionH>
              <wp:positionV relativeFrom="page">
                <wp:posOffset>9378950</wp:posOffset>
              </wp:positionV>
              <wp:extent cx="600710" cy="113030"/>
              <wp:wrapNone/>
              <wp:docPr id="9" name="Shape 9"/>
              <a:graphic xmlns:a="http://schemas.openxmlformats.org/drawingml/2006/main">
                <a:graphicData uri="http://schemas.microsoft.com/office/word/2010/wordprocessingShape">
                  <wps:wsp>
                    <wps:cNvSpPr txBox="1"/>
                    <wps:spPr>
                      <a:xfrm>
                        <a:ext cx="600710" cy="1130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3</w:t>
                          </w:r>
                        </w:p>
                      </w:txbxContent>
                    </wps:txbx>
                    <wps:bodyPr wrap="none" lIns="0" tIns="0" rIns="0" bIns="0">
                      <a:spAutoFit/>
                    </wps:bodyPr>
                  </wps:wsp>
                </a:graphicData>
              </a:graphic>
            </wp:anchor>
          </w:drawing>
        </mc:Choice>
        <mc:Fallback>
          <w:pict>
            <v:shape id="_x0000_s1035" type="#_x0000_t202" style="position:absolute;margin-left:293.19999999999999pt;margin-top:738.5pt;width:47.299999999999997pt;height:8.9000000000000004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733425</wp:posOffset>
              </wp:positionH>
              <wp:positionV relativeFrom="page">
                <wp:posOffset>9364980</wp:posOffset>
              </wp:positionV>
              <wp:extent cx="6577330" cy="0"/>
              <wp:wrapNone/>
              <wp:docPr id="11" name="Shape 11"/>
              <a:graphic xmlns:a="http://schemas.openxmlformats.org/drawingml/2006/main">
                <a:graphicData uri="http://schemas.microsoft.com/office/word/2010/wordprocessingShape">
                  <wps:wsp>
                    <wps:cNvCnPr/>
                    <wps:spPr>
                      <a:xfrm>
                        <a:ext cx="6577330" cy="0"/>
                      </a:xfrm>
                      <a:prstGeom prst="straightConnector1"/>
                      <a:ln w="12700">
                        <a:solidFill/>
                      </a:ln>
                    </wps:spPr>
                    <wps:bodyPr/>
                  </wps:wsp>
                </a:graphicData>
              </a:graphic>
            </wp:anchor>
          </w:drawing>
        </mc:Choice>
        <mc:Fallback>
          <w:pict>
            <v:shape o:spt="32" o:oned="true" path="m,l21600,21600e" style="position:absolute;margin-left:57.75pt;margin-top:737.39999999999998pt;width:517.89999999999998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Titulek tabulky_"/>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20"/>
      <w:szCs w:val="20"/>
      <w:u w:val="none"/>
    </w:rPr>
  </w:style>
  <w:style w:type="character" w:customStyle="1" w:styleId="CharStyle10">
    <w:name w:val="Nadpis #1_"/>
    <w:basedOn w:val="DefaultParagraphFont"/>
    <w:link w:val="Style9"/>
    <w:rPr>
      <w:rFonts w:ascii="Arial" w:eastAsia="Arial" w:hAnsi="Arial" w:cs="Arial"/>
      <w:b/>
      <w:bCs/>
      <w:i w:val="0"/>
      <w:iCs w:val="0"/>
      <w:smallCaps w:val="0"/>
      <w:strike w:val="0"/>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Jiné"/>
    <w:basedOn w:val="Normal"/>
    <w:link w:val="CharStyle3"/>
    <w:pPr>
      <w:widowControl w:val="0"/>
      <w:shd w:val="clear" w:color="auto" w:fill="FFFFFF"/>
      <w:spacing w:after="80"/>
    </w:pPr>
    <w:rPr>
      <w:rFonts w:ascii="Arial" w:eastAsia="Arial" w:hAnsi="Arial" w:cs="Arial"/>
      <w:b w:val="0"/>
      <w:bCs w:val="0"/>
      <w:i w:val="0"/>
      <w:iCs w:val="0"/>
      <w:smallCaps w:val="0"/>
      <w:strike w:val="0"/>
      <w:sz w:val="20"/>
      <w:szCs w:val="20"/>
      <w:u w:val="none"/>
    </w:rPr>
  </w:style>
  <w:style w:type="paragraph" w:customStyle="1" w:styleId="Style5">
    <w:name w:val="Titulek tabulky"/>
    <w:basedOn w:val="Normal"/>
    <w:link w:val="CharStyle6"/>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FFFFFF"/>
      <w:spacing w:after="80"/>
    </w:pPr>
    <w:rPr>
      <w:rFonts w:ascii="Arial" w:eastAsia="Arial" w:hAnsi="Arial" w:cs="Arial"/>
      <w:b w:val="0"/>
      <w:bCs w:val="0"/>
      <w:i w:val="0"/>
      <w:iCs w:val="0"/>
      <w:smallCaps w:val="0"/>
      <w:strike w:val="0"/>
      <w:sz w:val="20"/>
      <w:szCs w:val="20"/>
      <w:u w:val="none"/>
    </w:rPr>
  </w:style>
  <w:style w:type="paragraph" w:customStyle="1" w:styleId="Style9">
    <w:name w:val="Nadpis #1"/>
    <w:basedOn w:val="Normal"/>
    <w:link w:val="CharStyle10"/>
    <w:pPr>
      <w:widowControl w:val="0"/>
      <w:shd w:val="clear" w:color="auto" w:fill="FFFFFF"/>
      <w:spacing w:after="60"/>
      <w:jc w:val="center"/>
      <w:outlineLvl w:val="0"/>
    </w:pPr>
    <w:rPr>
      <w:rFonts w:ascii="Arial" w:eastAsia="Arial" w:hAnsi="Arial" w:cs="Arial"/>
      <w:b/>
      <w:bCs/>
      <w:i w:val="0"/>
      <w:iCs w:val="0"/>
      <w:smallCaps w:val="0"/>
      <w:strike w:val="0"/>
      <w:u w:val="none"/>
    </w:rPr>
  </w:style>
  <w:style w:type="paragraph" w:customStyle="1" w:styleId="Style11">
    <w:name w:val="Záhlaví nebo zápatí (2)"/>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Untitled</dc:title>
  <dc:subject/>
  <dc:creator>Klára</dc:creator>
  <cp:keywords/>
</cp:coreProperties>
</file>