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60FC" w14:textId="77777777" w:rsidR="00F56E48" w:rsidRPr="00B51F57" w:rsidRDefault="007F4979" w:rsidP="00423830">
      <w:pPr>
        <w:pStyle w:val="Styl11"/>
        <w:jc w:val="right"/>
        <w:rPr>
          <w:rFonts w:ascii="Verdana" w:hAnsi="Verdana"/>
          <w:b/>
          <w:sz w:val="20"/>
          <w:szCs w:val="20"/>
        </w:rPr>
      </w:pPr>
      <w:r w:rsidRPr="00B51F57">
        <w:rPr>
          <w:rFonts w:ascii="Verdana" w:hAnsi="Verdana"/>
          <w:b/>
          <w:sz w:val="20"/>
          <w:szCs w:val="20"/>
        </w:rPr>
        <w:t xml:space="preserve">Příloha </w:t>
      </w:r>
      <w:r w:rsidR="00E861C3" w:rsidRPr="00B51F57">
        <w:rPr>
          <w:rFonts w:ascii="Verdana" w:hAnsi="Verdana"/>
          <w:b/>
          <w:sz w:val="20"/>
          <w:szCs w:val="20"/>
        </w:rPr>
        <w:t xml:space="preserve">Smlouvy </w:t>
      </w:r>
      <w:r w:rsidR="00791FDE" w:rsidRPr="00B51F57">
        <w:rPr>
          <w:rFonts w:ascii="Verdana" w:hAnsi="Verdana"/>
          <w:b/>
          <w:sz w:val="20"/>
          <w:szCs w:val="20"/>
        </w:rPr>
        <w:t xml:space="preserve">– Environmentální požadavky </w:t>
      </w:r>
    </w:p>
    <w:p w14:paraId="6000660E" w14:textId="77777777" w:rsidR="001D0B33" w:rsidRDefault="001D0B33" w:rsidP="0019378D">
      <w:pPr>
        <w:pStyle w:val="Styl11"/>
        <w:rPr>
          <w:rFonts w:ascii="Verdana" w:hAnsi="Verdana"/>
          <w:b/>
          <w:sz w:val="20"/>
          <w:szCs w:val="20"/>
        </w:rPr>
      </w:pPr>
    </w:p>
    <w:p w14:paraId="155E60FD" w14:textId="0BC39015" w:rsidR="00F56E48" w:rsidRPr="003E11E0" w:rsidRDefault="00527A62" w:rsidP="0019378D">
      <w:pPr>
        <w:pStyle w:val="Styl11"/>
        <w:rPr>
          <w:rFonts w:ascii="Verdana" w:eastAsiaTheme="majorEastAsia" w:hAnsi="Verdana" w:cstheme="majorBidi"/>
          <w:caps/>
          <w:color w:val="C00000"/>
          <w:sz w:val="24"/>
          <w:szCs w:val="32"/>
        </w:rPr>
      </w:pPr>
      <w:r w:rsidRPr="003E11E0">
        <w:rPr>
          <w:rFonts w:ascii="Verdana" w:eastAsiaTheme="majorEastAsia" w:hAnsi="Verdana" w:cstheme="majorBidi"/>
          <w:caps/>
          <w:color w:val="C00000"/>
          <w:sz w:val="24"/>
          <w:szCs w:val="32"/>
        </w:rPr>
        <w:t xml:space="preserve">ENVIROMENTÁLNÍ POŽADAVKY </w:t>
      </w:r>
      <w:r w:rsidR="00951DFA" w:rsidRPr="003E11E0">
        <w:rPr>
          <w:rFonts w:ascii="Verdana" w:eastAsiaTheme="majorEastAsia" w:hAnsi="Verdana" w:cstheme="majorBidi"/>
          <w:caps/>
          <w:color w:val="C00000"/>
          <w:sz w:val="24"/>
          <w:szCs w:val="32"/>
        </w:rPr>
        <w:t xml:space="preserve"> </w:t>
      </w:r>
    </w:p>
    <w:p w14:paraId="155E60FE" w14:textId="77777777" w:rsidR="00F56E48" w:rsidRPr="00B51F57" w:rsidRDefault="00F56E48" w:rsidP="0019378D">
      <w:pPr>
        <w:pStyle w:val="Styl11"/>
        <w:rPr>
          <w:rFonts w:ascii="Verdana" w:hAnsi="Verdana"/>
          <w:sz w:val="20"/>
          <w:szCs w:val="20"/>
        </w:rPr>
      </w:pPr>
    </w:p>
    <w:p w14:paraId="155E60FF" w14:textId="329444A6" w:rsidR="006D7D45" w:rsidRPr="00B51F57" w:rsidRDefault="006D7D45" w:rsidP="0019378D">
      <w:pPr>
        <w:pStyle w:val="Styl11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Jednající kupující tímto doplňuje, že označení „výrobek</w:t>
      </w:r>
      <w:r w:rsidR="00F60F8E" w:rsidRPr="00B51F57">
        <w:rPr>
          <w:rFonts w:ascii="Verdana" w:hAnsi="Verdana"/>
          <w:sz w:val="20"/>
          <w:szCs w:val="20"/>
        </w:rPr>
        <w:t>“</w:t>
      </w:r>
      <w:r w:rsidRPr="00B51F57">
        <w:rPr>
          <w:rFonts w:ascii="Verdana" w:hAnsi="Verdana"/>
          <w:sz w:val="20"/>
          <w:szCs w:val="20"/>
        </w:rPr>
        <w:t xml:space="preserve"> či </w:t>
      </w:r>
      <w:r w:rsidR="00F60F8E" w:rsidRPr="00B51F57">
        <w:rPr>
          <w:rFonts w:ascii="Verdana" w:hAnsi="Verdana"/>
          <w:sz w:val="20"/>
          <w:szCs w:val="20"/>
        </w:rPr>
        <w:t>„</w:t>
      </w:r>
      <w:r w:rsidRPr="00B51F57">
        <w:rPr>
          <w:rFonts w:ascii="Verdana" w:hAnsi="Verdana"/>
          <w:sz w:val="20"/>
          <w:szCs w:val="20"/>
        </w:rPr>
        <w:t>nábytkový výrobek“</w:t>
      </w:r>
      <w:r w:rsidR="00F60F8E" w:rsidRPr="00B51F57">
        <w:rPr>
          <w:rFonts w:ascii="Verdana" w:hAnsi="Verdana"/>
          <w:sz w:val="20"/>
          <w:szCs w:val="20"/>
        </w:rPr>
        <w:t xml:space="preserve"> se</w:t>
      </w:r>
      <w:r w:rsidRPr="00B51F57">
        <w:rPr>
          <w:rFonts w:ascii="Verdana" w:hAnsi="Verdana"/>
          <w:sz w:val="20"/>
          <w:szCs w:val="20"/>
        </w:rPr>
        <w:t xml:space="preserve"> v kontextu tohoto dokumentu považuje za Zboží dle definice</w:t>
      </w:r>
      <w:r w:rsidR="00F60F8E" w:rsidRPr="00B51F57">
        <w:rPr>
          <w:rFonts w:ascii="Verdana" w:hAnsi="Verdana"/>
          <w:sz w:val="20"/>
          <w:szCs w:val="20"/>
        </w:rPr>
        <w:t xml:space="preserve"> čl. 2</w:t>
      </w:r>
      <w:r w:rsidRPr="00B51F57">
        <w:rPr>
          <w:rFonts w:ascii="Verdana" w:hAnsi="Verdana"/>
          <w:sz w:val="20"/>
          <w:szCs w:val="20"/>
        </w:rPr>
        <w:t xml:space="preserve"> Smlouvy</w:t>
      </w:r>
      <w:r w:rsidR="00862654" w:rsidRPr="00B51F57">
        <w:rPr>
          <w:rFonts w:ascii="Verdana" w:hAnsi="Verdana"/>
          <w:b/>
          <w:sz w:val="20"/>
          <w:szCs w:val="20"/>
        </w:rPr>
        <w:t xml:space="preserve"> </w:t>
      </w:r>
      <w:r w:rsidR="00862654" w:rsidRPr="009A0D4A">
        <w:rPr>
          <w:rFonts w:ascii="Verdana" w:hAnsi="Verdana"/>
          <w:bCs/>
          <w:sz w:val="20"/>
          <w:szCs w:val="20"/>
        </w:rPr>
        <w:t>Dodávky kancelářského nábytku pro resort dopravy 2023</w:t>
      </w:r>
      <w:r w:rsidRPr="009A0D4A">
        <w:rPr>
          <w:rFonts w:ascii="Verdana" w:hAnsi="Verdana"/>
          <w:bCs/>
          <w:sz w:val="20"/>
          <w:szCs w:val="20"/>
        </w:rPr>
        <w:t>.</w:t>
      </w:r>
      <w:r w:rsidRPr="00B51F57">
        <w:rPr>
          <w:rFonts w:ascii="Verdana" w:hAnsi="Verdana"/>
          <w:sz w:val="20"/>
          <w:szCs w:val="20"/>
        </w:rPr>
        <w:t xml:space="preserve"> </w:t>
      </w:r>
    </w:p>
    <w:p w14:paraId="155E6100" w14:textId="77777777" w:rsidR="006D7D45" w:rsidRPr="00B51F57" w:rsidRDefault="006D7D45" w:rsidP="0019378D">
      <w:pPr>
        <w:pStyle w:val="Styl11"/>
        <w:rPr>
          <w:rFonts w:ascii="Verdana" w:hAnsi="Verdana"/>
          <w:sz w:val="20"/>
          <w:szCs w:val="20"/>
        </w:rPr>
      </w:pPr>
    </w:p>
    <w:p w14:paraId="155E6101" w14:textId="77777777" w:rsidR="006D7D45" w:rsidRPr="00B51F57" w:rsidRDefault="006D7D45" w:rsidP="0019378D">
      <w:pPr>
        <w:pStyle w:val="Styl11"/>
        <w:contextualSpacing w:val="0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Jednající kupující požaduje po dobu trvání Smlouvy splnění následujícího:</w:t>
      </w:r>
    </w:p>
    <w:p w14:paraId="155E6102" w14:textId="77777777" w:rsidR="0019378D" w:rsidRPr="00B51F57" w:rsidRDefault="008B18F3" w:rsidP="007F4979">
      <w:pPr>
        <w:pStyle w:val="Styl11"/>
        <w:numPr>
          <w:ilvl w:val="0"/>
          <w:numId w:val="12"/>
        </w:numPr>
        <w:spacing w:before="120"/>
        <w:contextualSpacing w:val="0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Zboží</w:t>
      </w:r>
      <w:r w:rsidR="0019378D" w:rsidRPr="00B51F57">
        <w:rPr>
          <w:rFonts w:ascii="Verdana" w:hAnsi="Verdana"/>
          <w:sz w:val="20"/>
          <w:szCs w:val="20"/>
        </w:rPr>
        <w:t xml:space="preserve">, </w:t>
      </w:r>
      <w:r w:rsidRPr="00B51F57">
        <w:rPr>
          <w:rFonts w:ascii="Verdana" w:hAnsi="Verdana"/>
          <w:sz w:val="20"/>
          <w:szCs w:val="20"/>
        </w:rPr>
        <w:t xml:space="preserve">resp. výrobek, </w:t>
      </w:r>
      <w:r w:rsidR="0019378D" w:rsidRPr="00B51F57">
        <w:rPr>
          <w:rFonts w:ascii="Verdana" w:hAnsi="Verdana"/>
          <w:sz w:val="20"/>
          <w:szCs w:val="20"/>
        </w:rPr>
        <w:t>včetně materiálu, ze kterého je vyroben</w:t>
      </w:r>
      <w:r w:rsidRPr="00B51F57">
        <w:rPr>
          <w:rFonts w:ascii="Verdana" w:hAnsi="Verdana"/>
          <w:sz w:val="20"/>
          <w:szCs w:val="20"/>
        </w:rPr>
        <w:t>o</w:t>
      </w:r>
      <w:r w:rsidR="0019378D" w:rsidRPr="00B51F57">
        <w:rPr>
          <w:rFonts w:ascii="Verdana" w:hAnsi="Verdana"/>
          <w:sz w:val="20"/>
          <w:szCs w:val="20"/>
        </w:rPr>
        <w:t xml:space="preserve"> musí splňovat požadavky na bezpečný výrobek ve smyslu zákona č. 102/2001 Sb., o obecné bezpečnosti výrobků a o změně některých zákonů (zákon o obecné bezpečnosti výrobků), ve znění pozdějších předpisů. Dále musí splňovat technické, bezpečnostní, zdravotní, hygienické a jiné předpisy, včetně předpisů týkajících se ochrany životního prostředí, a to zejména: </w:t>
      </w:r>
    </w:p>
    <w:p w14:paraId="155E6103" w14:textId="77777777" w:rsidR="0019378D" w:rsidRPr="00B51F57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ákon č. 22/1997 Sb., o technických požadavcích na výrobky a o změně a doplnění některých zákonů, ve znění pozdějších předpisů</w:t>
      </w: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,</w:t>
      </w:r>
    </w:p>
    <w:p w14:paraId="155E6104" w14:textId="77777777" w:rsidR="0019378D" w:rsidRPr="00B51F57" w:rsidRDefault="001A6736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nařízení vlády</w:t>
      </w:r>
      <w:r w:rsidR="00E861C3" w:rsidRPr="00B51F57">
        <w:rPr>
          <w:rFonts w:ascii="Verdana" w:eastAsia="Times New Roman" w:hAnsi="Verdana" w:cs="Arial"/>
          <w:bCs/>
          <w:iCs/>
          <w:sz w:val="20"/>
          <w:szCs w:val="20"/>
        </w:rPr>
        <w:t xml:space="preserve"> 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163/2002 Sb., kterým se stanoví technické požadavky na vybrané stavební výrobky, ve znění pozdějších předpisů</w:t>
      </w:r>
      <w:r w:rsidR="006C3AE7" w:rsidRPr="00B51F57">
        <w:rPr>
          <w:rFonts w:ascii="Verdana" w:eastAsia="Times New Roman" w:hAnsi="Verdana" w:cs="Arial"/>
          <w:bCs/>
          <w:iCs/>
          <w:sz w:val="20"/>
          <w:szCs w:val="20"/>
        </w:rPr>
        <w:t>,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 xml:space="preserve"> </w:t>
      </w:r>
    </w:p>
    <w:p w14:paraId="155E6105" w14:textId="77777777" w:rsidR="0019378D" w:rsidRPr="00B51F57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ákon č. 201/2012 Sb., o ochraně ovzduší, ve znění pozdějších předpisů;</w:t>
      </w:r>
    </w:p>
    <w:p w14:paraId="155E6106" w14:textId="77777777" w:rsidR="0019378D" w:rsidRPr="00B51F57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ákon č. 254/2001 Sb., o vodách a o změně některých zákonů (vodní zákon), ve znění pozdějších předpisů</w:t>
      </w: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,</w:t>
      </w:r>
    </w:p>
    <w:p w14:paraId="155E6107" w14:textId="77777777" w:rsidR="0019378D" w:rsidRPr="00B51F57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ákon č. 185/2001 Sb., o odpadech a o změně některých dalších zákonů, ve znění pozdějších předpisů</w:t>
      </w: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,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 xml:space="preserve"> </w:t>
      </w:r>
    </w:p>
    <w:p w14:paraId="155E6108" w14:textId="77777777" w:rsidR="0019378D" w:rsidRPr="00B51F57" w:rsidRDefault="006C3AE7" w:rsidP="008B18F3">
      <w:pPr>
        <w:numPr>
          <w:ilvl w:val="0"/>
          <w:numId w:val="1"/>
        </w:numPr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 xml:space="preserve">ákon č. 350/2011 Sb., o chemických látkách a chemických směsích a o změně některých zákonů (chemický zákon), ve znění pozdějších předpisů. </w:t>
      </w:r>
    </w:p>
    <w:p w14:paraId="155E6109" w14:textId="77777777" w:rsidR="00965968" w:rsidRPr="00B51F57" w:rsidRDefault="008B18F3" w:rsidP="008B18F3">
      <w:pPr>
        <w:pStyle w:val="Styl11"/>
        <w:numPr>
          <w:ilvl w:val="0"/>
          <w:numId w:val="12"/>
        </w:numPr>
        <w:spacing w:line="240" w:lineRule="auto"/>
        <w:contextualSpacing w:val="0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 xml:space="preserve">Jednající kupující </w:t>
      </w:r>
      <w:r w:rsidR="0019378D" w:rsidRPr="00B51F57">
        <w:rPr>
          <w:rFonts w:ascii="Verdana" w:hAnsi="Verdana"/>
          <w:sz w:val="20"/>
          <w:szCs w:val="20"/>
        </w:rPr>
        <w:t xml:space="preserve">požaduje, aby obsah těkavých organických sloučenin lepidel a klihů používaných při montáži nábytku nepřekročil 10 % hmotnostních. </w:t>
      </w:r>
    </w:p>
    <w:p w14:paraId="155E610A" w14:textId="49811828" w:rsidR="00965968" w:rsidRPr="00B51F57" w:rsidRDefault="008B18F3" w:rsidP="008B18F3">
      <w:pPr>
        <w:pStyle w:val="Styl11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Dále Jednající kupující požaduje po dobu trvání Smlouvy splnění následujícího a zároveň p</w:t>
      </w:r>
      <w:r w:rsidR="006C3AE7" w:rsidRPr="00B51F57">
        <w:rPr>
          <w:rFonts w:ascii="Verdana" w:hAnsi="Verdana"/>
          <w:sz w:val="20"/>
          <w:szCs w:val="20"/>
        </w:rPr>
        <w:t>o dobu platnosti Smlouvy uzavřené s </w:t>
      </w:r>
      <w:r w:rsidR="00E861C3" w:rsidRPr="00B51F57">
        <w:rPr>
          <w:rFonts w:ascii="Verdana" w:hAnsi="Verdana"/>
          <w:sz w:val="20"/>
          <w:szCs w:val="20"/>
        </w:rPr>
        <w:t>Prodávajícím</w:t>
      </w:r>
      <w:r w:rsidR="006C3AE7" w:rsidRPr="00B51F57">
        <w:rPr>
          <w:rFonts w:ascii="Verdana" w:hAnsi="Verdana"/>
          <w:sz w:val="20"/>
          <w:szCs w:val="20"/>
        </w:rPr>
        <w:t xml:space="preserve"> si může vyžádat </w:t>
      </w:r>
      <w:r w:rsidR="00ED5749" w:rsidRPr="00B51F57">
        <w:rPr>
          <w:rFonts w:ascii="Verdana" w:hAnsi="Verdana"/>
          <w:sz w:val="20"/>
          <w:szCs w:val="20"/>
        </w:rPr>
        <w:t xml:space="preserve">Kupující </w:t>
      </w:r>
      <w:r w:rsidR="006C3AE7" w:rsidRPr="00B51F57">
        <w:rPr>
          <w:rFonts w:ascii="Verdana" w:hAnsi="Verdana"/>
          <w:sz w:val="20"/>
          <w:szCs w:val="20"/>
        </w:rPr>
        <w:t>následující dokumenty:</w:t>
      </w:r>
    </w:p>
    <w:p w14:paraId="7166AD65" w14:textId="3B82CEE3" w:rsidR="00BB31C0" w:rsidRDefault="00BB31C0" w:rsidP="008B18F3">
      <w:pPr>
        <w:pStyle w:val="Styl11"/>
        <w:rPr>
          <w:rFonts w:ascii="Verdana" w:hAnsi="Verdana"/>
          <w:sz w:val="18"/>
          <w:szCs w:val="18"/>
        </w:rPr>
      </w:pPr>
    </w:p>
    <w:p w14:paraId="24479C8E" w14:textId="1419EDE6" w:rsidR="00E41067" w:rsidRDefault="00E41067" w:rsidP="008B18F3">
      <w:pPr>
        <w:pStyle w:val="Styl11"/>
        <w:rPr>
          <w:rFonts w:ascii="Verdana" w:hAnsi="Verdana"/>
          <w:sz w:val="18"/>
          <w:szCs w:val="18"/>
        </w:rPr>
      </w:pPr>
    </w:p>
    <w:p w14:paraId="41C85916" w14:textId="77777777" w:rsidR="00E41067" w:rsidRPr="00B51F57" w:rsidRDefault="00E41067" w:rsidP="008B18F3">
      <w:pPr>
        <w:pStyle w:val="Styl11"/>
        <w:rPr>
          <w:rFonts w:ascii="Verdana" w:hAnsi="Verdana"/>
          <w:sz w:val="18"/>
          <w:szCs w:val="18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6317"/>
        <w:gridCol w:w="4536"/>
      </w:tblGrid>
      <w:tr w:rsidR="008B18F3" w:rsidRPr="00E41067" w14:paraId="155E610F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0E" w14:textId="28ECAACB" w:rsidR="008B18F3" w:rsidRPr="00B51F57" w:rsidRDefault="008B18F3" w:rsidP="00B51F5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Všechny uvedené části výrobku (dřevěné, plastové, kovové, textilie a čalounění)</w:t>
            </w:r>
          </w:p>
        </w:tc>
      </w:tr>
      <w:tr w:rsidR="008B18F3" w:rsidRPr="00E41067" w14:paraId="155E6113" w14:textId="77777777" w:rsidTr="00B51F57">
        <w:trPr>
          <w:trHeight w:val="8184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0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Obsah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br/>
              <w:t>nebezpečných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br/>
              <w:t>látek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Ve výrobku či v jakémkoli dílci/materiálu, které výrobce nábytku přímo používá, jako jsou lepidla, laky, barvy, základní nátěrové hmoty, mořidla dřeva, biocidní přípravky např. konzervační přípravky na dřevo), biocidy, zpomalovače hoření, výplně, vosky, oleje, výplně spár a tmelů, barviva, pryskyřice či maziva, apod., nesmí být obsaženy látky klasifikované v souladu s nařízením (ES) č. 1272/2008.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Nebezpečné látky skupiny 1 – SVHC a CLP Nebezpečnost řadící látku nebo směs do skupiny 1: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Látky zařazené na seznam látek SVHC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Karcinogenní, mutagenní a/nebo toxický pro reprodukci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(CMR) kategorie 1 A nebo 1B: H340, H350, H350i,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H360F, H360D, H360FD, H360Fd, H360Df. Nebezpečné látky skupiny 2 – CLP.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Nebezpečnost řadící látku nebo směs do skupiny 2: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2 CMR: H341, H351, H361f, H361d, H361-fd, H362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toxicita pro vodní prostředí: H400, H410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a 2 akutní toxicita: H300, H310, H330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toxicita při vdechnutí: H304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toxicita pro specifické cílové orgány: H370, H372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látka senzibilizující kůži: H317. Nebezpečné látky skupiny 3 – CLP.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Nebezpečnost řadící látku nebo směs do skupiny 3: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Kategorie 2, 3 a 4 toxicita pro vodní prostředí: H411,H412, H413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Kategorie 3 akutní toxicita: H301, H311, H331, EUH070.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2 STOT: H371, H373.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12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předloží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Úplný seznam všech látek použitých při výrobě a údaje o jejich nebezpečnosti v rozsahu stanoveném v příloze VII nařízení (ES) č. 1907/2006. Pro každou z použitých látek předloží bezpečnostní list nebo záznamy o vlastní klasifikaci v databázi látek registrovaných na základě nařízení REACH vedené agenturou ECHA (není-li k dispozici harmonizovaná klasifikace),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2) Certifikát o udělení Ekoznačky EU nebo jiné ekoznačky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udělený v souladu s ISO 14024: Environmentální značky a prohlášení - Environmentální značení typu I.</w:t>
            </w:r>
          </w:p>
        </w:tc>
      </w:tr>
      <w:tr w:rsidR="00497AED" w:rsidRPr="00E41067" w14:paraId="155E6115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14" w14:textId="77777777" w:rsidR="00497AED" w:rsidRPr="00B51F57" w:rsidRDefault="00497AED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Dřevěné části (pokud je podíl na celkové hmotnosti Zboží větší než </w:t>
            </w:r>
            <w:proofErr w:type="gram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5%</w:t>
            </w:r>
            <w:proofErr w:type="gram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8B18F3" w:rsidRPr="00E41067" w14:paraId="155E6119" w14:textId="77777777" w:rsidTr="00B51F57">
        <w:trPr>
          <w:trHeight w:val="3168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6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br/>
              <w:t>Primární surovina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7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100 % hmotnostního dřeva použitého ve výrobku je certifikováno FSC nebo PEFC nebo je vyrobeno z recyklovaného materiálu.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                                                  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Pokud certifikační systém povoluje kombinovat v rámci výrobku nebo výrobkové řady necertifikovaný materiál s materiálem certifikovaným a/nebo recyklovaným, musí minimálně 70 % materiálu, jímž je dle vhodnosti dřevo, korek, bambus či ratan, tvořit udržitelný certifikovaný primární materiál a/nebo recyklovaný materiál.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Za recyklované materiály se považují materiály definované v normě ISO 14021.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18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Certifikát FSC nebo PEFC,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2) Odpovídající technickou dokumentaci o původu a podílu recyklovaného materiálu, který vstupuje do výroby,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3) Certifikát o udělení Ekoznačky EU nebo jiné ekoznačky udělený v souladu s ISO 14024: Environmentální značky a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prohlášení - Environmentální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značení typu I.</w:t>
            </w:r>
          </w:p>
        </w:tc>
      </w:tr>
      <w:tr w:rsidR="008B18F3" w:rsidRPr="00E41067" w14:paraId="155E611D" w14:textId="77777777" w:rsidTr="00B51F57">
        <w:trPr>
          <w:trHeight w:val="4488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A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Desky na bázi dřeva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B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Veškerá recyklovaná dřevní vlákna nebo štěpka použitá při výrobě desek na bázi dřeva se zkouší podle normy Evropské federace výrobců desek (EPF) pro dodací podmínky recyklovaného dřeva</w:t>
            </w:r>
            <w:r w:rsidR="00B90B83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přičemž musí splňovat mezní hodnoty pro následující znečišťující látky (v mg/kg recyklovaného dřeva).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Arsen (As) 25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Rtuť (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Hg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) 25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Kadmium (Cd) 50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Fluor (F) 100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Chrom (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Cr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) 25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Chlor (Cl) 1 000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Měď (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Cu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) 40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Pentachlorfenol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(PCF) 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Olovo (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Pb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) 90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Kreosot (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benzo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(a)pyren) 0,5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1C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prohlášení výrobce desky na bázi dřeva, že v desce nejsou použita žádná recyklovaná dřevní vlákna,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2) Certifikát či protokol o zkoušce dle „standardních dodacích podmínek EPF“, dokládající, že vzorky recyklovaného dřeva splňují mezní hodnoty,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3) Certifikát či protokol o zkoušce dle jiných rovnocenných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norem, jejichž mezní hodnoty jsou rovnocenné „standardním podmínkám EPF pro dodání recyklovaného dřeva“ nebo jež jsou přísnější, dokládající, že vzorky recyklovaného dřeva splňují mezní hodnoty.</w:t>
            </w:r>
          </w:p>
        </w:tc>
      </w:tr>
      <w:tr w:rsidR="008B18F3" w:rsidRPr="00E41067" w14:paraId="155E6122" w14:textId="77777777" w:rsidTr="00B51F57">
        <w:trPr>
          <w:trHeight w:val="714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E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 xml:space="preserve">Desky na bázi </w:t>
            </w:r>
            <w:proofErr w:type="gram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dřeva - obsah</w:t>
            </w:r>
            <w:proofErr w:type="gram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formaldehydu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F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Emise formaldehydu ze všech dodávaných desek na bázi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dřeva, v podobě, v níž se používají v nábytkových výrobcích (tj. bez povrchové úpravy, s nátěrem, krycí vrstvou, dýhováním), a jež byly vyrobeny s použitím pryskyřice na bázi formaldehydu, musí splňovat jedno z těchto kritérií: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— musí být nižší než 50 % prahové hodnoty, což umožní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jejich klasifikaci jako splňující E1,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— musí být v případě polotvrdých dřevovláknitých desek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(MDF) nižší než 65 % mezní hodnoty E1,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— musí být nižší než mezní hodnoty stanovené normami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organizace CARB fáze II nebo japonskými „F-3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star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“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nebo „F-4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star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“.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0" w14:textId="6E7EAAB6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Pro E1: Protokoly o zkoušce provedené podle normy EN 717-2, EN 120, EN 717-1, nebo podle rovnocenných metod,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2) Pro CARB: Výsledky zkoušky podle normy ASTME1333 nebo ASTM D6007, z něhož vyplývá, že tyto desky splňují mezní hodnoty pro emise formaldehydu fáze II stanovené předpisem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California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CompositeWood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Products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Regulation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93120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3) Pro F-3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star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“ nebo „F-4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star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“: Prohlášení výrobce desky na bázi dřeva o splnění mezních hodnot emisí formaldehydu podle normy JIS A 5905 (v případě dřevovláknitých desek) nebo JIS A 5908 (v případě třískových a překližkových desek), přičemž se doloží údaje o zkouškách provedených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exsikátorovou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metodou podle normy JIS A 1460.</w:t>
            </w:r>
          </w:p>
          <w:p w14:paraId="155E612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4) Certifikát o udělení Ekoznačky EU, nebo jiné ekoznačky uděleným v souladu s ISO 14024: Environmentální značky a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prohlášení - Environmentální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značení typu I.</w:t>
            </w:r>
          </w:p>
        </w:tc>
      </w:tr>
      <w:tr w:rsidR="008B18F3" w:rsidRPr="00E41067" w14:paraId="155E6124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23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Plastové části (pokud je podíl na celkové hmotnosti</w:t>
            </w:r>
            <w:r w:rsidR="00F60F8E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Zboží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větší než </w:t>
            </w:r>
            <w:proofErr w:type="gram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5%</w:t>
            </w:r>
            <w:proofErr w:type="gram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8B18F3" w:rsidRPr="00E41067" w14:paraId="155E6128" w14:textId="77777777" w:rsidTr="00B51F57">
        <w:trPr>
          <w:trHeight w:val="1056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5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6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 žádné části nábytkového výrobku se nepoužijí plasty vyrobené za použití monomeru vinylchloridu (VCM).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7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poskytne bezpečností listy, či jinou technickou dokumentaci, ve které je uvedeno složení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plastových částí.</w:t>
            </w:r>
          </w:p>
        </w:tc>
      </w:tr>
      <w:tr w:rsidR="008B18F3" w:rsidRPr="00E41067" w14:paraId="155E612C" w14:textId="77777777" w:rsidTr="00B51F57">
        <w:trPr>
          <w:trHeight w:val="1776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9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Změkčovadla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A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Změkčovadla nesmí obsahovat DNOP (di-n-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oktyl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ftalát),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DINP (di-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isononyl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ftalát), DIDP (di-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isodecyl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ftalát).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B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poskytne bezpečnostní listy, či jinou technickou dokumentaci, ve které je uvedeno složení plastových částí, a/nebo jinou dokumentaci, která prokazuje, zda bylo pro jejich výrobu použito změkčovadel, či nikoliv.</w:t>
            </w:r>
          </w:p>
        </w:tc>
      </w:tr>
      <w:tr w:rsidR="008B18F3" w:rsidRPr="00E41067" w14:paraId="155E6130" w14:textId="77777777" w:rsidTr="00B51F57">
        <w:trPr>
          <w:trHeight w:val="132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D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Podíl recyklovaných plastů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E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20 % z celkové hmotnosti plastu ve výrobku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tvoří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recyklovaný materiál, pokud je konečný výrobek tvořen z více jak 20 % své hmotnosti plastem.                     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Za recyklované materiály se považují materiály definované v normě ISO 14021.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F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poskytne bezpečnostní listy, či jinou technickou dokumentaci, ve které je uvedena informace o podílu recyklovaných složek.</w:t>
            </w:r>
          </w:p>
        </w:tc>
      </w:tr>
      <w:tr w:rsidR="008B18F3" w:rsidRPr="00E41067" w14:paraId="155E6134" w14:textId="77777777" w:rsidTr="00B51F57">
        <w:trPr>
          <w:trHeight w:val="1332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Obsah olova, rtuti, cínu kadmia, šestimocného chromu nebo jejich sloučenin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2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Plasty nesmí obsahovat žádný z vyjmenovaných těžkých kovů.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33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Výrobce/dodavatel poskytne bezpečností listy, či jinou technickou dokumentaci, ve které je uvedena informace dokládající splnění požadovaných parametrů.</w:t>
            </w:r>
          </w:p>
        </w:tc>
      </w:tr>
      <w:tr w:rsidR="008B18F3" w:rsidRPr="00E41067" w14:paraId="155E6136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35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Kovové části (pokud je podíl na celkové hmotnosti</w:t>
            </w:r>
            <w:r w:rsidR="00F60F8E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Zboží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větší než </w:t>
            </w:r>
            <w:proofErr w:type="gram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5%</w:t>
            </w:r>
            <w:proofErr w:type="gram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8B18F3" w:rsidRPr="00E41067" w14:paraId="155E613A" w14:textId="77777777" w:rsidTr="00B51F57">
        <w:trPr>
          <w:trHeight w:val="306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7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Elektrolytické pokovování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8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Na elektrolytické pokovování kovových dílců použitých v konečném nábytkovém výrobku nelze používat šestivazný chrom ani kadmium. Nikl je na elektrolytické pokovování povolen pouze, je-li rychlost uvolňování niklu z pokovovaného dílce nižší než 0,5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pg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/cm2/týden, a to podle normy EN 1811.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39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poskytne bezpečností listy, či jinou technickou dokumentaci, ve které je uvedena informace o tom, že žádný kovový dílec nebyl pokovován šestivazným chromem, niklem nebo kadmiem. Pokud byl na elektrolytické pokovování použit nikl, </w:t>
            </w:r>
            <w:r w:rsidR="00F60F8E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předloží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prohlášení dodavatele kovového dílce (kovových dílců), doložené protokolem o zkoušce podle normy EN 1811, vyplývá-li z výsledků, že rychlost uvolňování niklu je nižší než 0,5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pg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/cm2/týden.</w:t>
            </w:r>
          </w:p>
        </w:tc>
      </w:tr>
      <w:tr w:rsidR="008B18F3" w:rsidRPr="00E41067" w14:paraId="155E613E" w14:textId="77777777" w:rsidTr="00B51F57">
        <w:trPr>
          <w:trHeight w:val="270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B" w14:textId="77777777" w:rsidR="008B18F3" w:rsidRPr="00B51F57" w:rsidRDefault="00965968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Těžké</w:t>
            </w:r>
            <w:r w:rsidR="008B18F3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kovy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C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Barvy, základní nátěrové hmoty nebo laky, které se používají na kovové dílce, nesmí obsahovat přísady na bázi kadmia, olova, šestivazného chromu, rtuti, arsenu nebo selenu v koncentraci větší než 0,01 % (hmotnostních), a to u žádného z jednotlivých kovů v barvě, základní nátěrové hmotě nebo laku v plechovém obalu.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3D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předloží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bezpečnostní list poskytnutý dodavatelem barev, základních nátěrových hmot nebo laků, které byly použity, nebo jinou dokumentaci, ve které je uvedena informace dokládající splnění požadovaných parametrů.</w:t>
            </w:r>
          </w:p>
        </w:tc>
      </w:tr>
      <w:tr w:rsidR="008B18F3" w:rsidRPr="00E41067" w14:paraId="155E6140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3F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Textilie a čalounění (pokud je podíl na celkové hmotnosti</w:t>
            </w:r>
            <w:r w:rsidR="000F61F8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Zboží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větší než </w:t>
            </w:r>
            <w:proofErr w:type="gram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5%</w:t>
            </w:r>
            <w:proofErr w:type="gram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8B18F3" w:rsidRPr="00E41067" w14:paraId="155E6144" w14:textId="77777777" w:rsidTr="00B51F57">
        <w:trPr>
          <w:trHeight w:val="3432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14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2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 žádné části nábytkového výrobku se nepoužijí čalounické potahové materiály vyrobené za použití monomeru vinylchloridu (VCM).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43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poskytne buď: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Bezpečností listy, či jinou technickou dokumentaci, ve které je uvedena informace dokládající splnění požadovaných parametrů,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2) Certifikát o udělení Ekoznačky EU nebo jiné ekoznačky udělený v souladu s ISO 14024: Environmentální značky a prohlášení Environmentální značení typu I pro nábytek, nebo textilie dle souvisejících Rozhodnutí </w:t>
            </w:r>
            <w:r w:rsidR="000F61F8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Evropské komise</w:t>
            </w:r>
            <w:r w:rsidR="007B0977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</w:p>
        </w:tc>
      </w:tr>
      <w:tr w:rsidR="008B18F3" w:rsidRPr="00E41067" w14:paraId="155E6148" w14:textId="77777777" w:rsidTr="00B51F57">
        <w:trPr>
          <w:trHeight w:val="629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5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Obsah nebezpečných látek použitých pro barvení, potiskování a konečné úpravě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6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Z požadavku na obsah nebezpečných látek ve všech částech výrobku (výše jmenované H věty) může být v případě textilií a čalounických potahový</w:t>
            </w:r>
            <w:r w:rsidR="00456261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materiálů udělena výjimka dle článku 14 b) Výjimky vztahující se na skupiny látek používaných v textilním průmyslu definovaná v Rozhodnutí </w:t>
            </w:r>
            <w:r w:rsidR="000F61F8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Evropské komise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2014/350/EU, kterým se stanoví ekologická kritéria pro udělování ekoznačky EU textilním výrobkům.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47" w14:textId="77777777" w:rsidR="008B18F3" w:rsidRPr="00B51F57" w:rsidRDefault="008B18F3" w:rsidP="00B84A60">
            <w:pPr>
              <w:spacing w:after="0" w:line="240" w:lineRule="auto"/>
              <w:ind w:left="-70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poskytne buď: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1) Prohlášení o shodě od všech jednotlivých barvíren, textilních tiskáren a závodů na konečnou úpravu, případně od jejich dodavatelů chemických látek. V nich prohlásí, že dále uvedené látky, které byly použity ve výrobním postupu, spolu s veškerými dalšími použitými funkčními látkami, jež mohou zůstat v konečném výrobku, nesplňují kritéria pro klasifikaci jednou či více klasifikacemi nebezpečnosti a R-větami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lastRenderedPageBreak/>
              <w:t xml:space="preserve">uvedenými v tabulce č. 5 Rozhodnutí </w:t>
            </w:r>
            <w:r w:rsidR="000F61F8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Evropské komise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 2014/350/EU stanovujícím environmentální kritéria pro textilní výrobky. Pokud se na látky vztahují výjimky uvedené v tabulce č. 6, pak prohlášení konkrétně vyjmenuje látky, na něž se vztahuje výjimka, a předloží doplňující doklady prokazující, jak jsou v daném případě splněny podmínky pro udělení výjimky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2) Certifikát o udělení Ekoznačky EU nebo jiné ekoznačky udělený v souladu s ISO 14024: Environmentální značky a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prohlášení - Environmentální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značení typu I.</w:t>
            </w:r>
          </w:p>
        </w:tc>
      </w:tr>
      <w:tr w:rsidR="008B18F3" w:rsidRPr="00E41067" w14:paraId="155E614A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49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Další požadavky</w:t>
            </w:r>
          </w:p>
        </w:tc>
      </w:tr>
      <w:tr w:rsidR="008B18F3" w:rsidRPr="00E41067" w14:paraId="155E614E" w14:textId="77777777" w:rsidTr="00B51F57">
        <w:trPr>
          <w:trHeight w:val="1848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B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Demontovatelnost</w:t>
            </w:r>
            <w:proofErr w:type="spellEnd"/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/ opravitelnost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C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Výrobek musí být sestaven tak, aby všechny díly byly snadno demontovatelné, vyměnitelné a nahraditelné; po skončení životního cyklu musí být jednotlivé dílce jednoduše </w:t>
            </w:r>
            <w:proofErr w:type="spell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roztříditelné</w:t>
            </w:r>
            <w:proofErr w:type="spell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podle druhu materiálu.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4D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předloží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informace pro spotřebitele obsahující jednoduchý a názorný návod k rozebrání a náhradě poškozených dílců/materiálů; rozebrání a náhradu musí být možné provádět pomocí běžného základního ručního nářadí a bez speciální kvalifikace.</w:t>
            </w:r>
          </w:p>
        </w:tc>
      </w:tr>
      <w:tr w:rsidR="008B18F3" w:rsidRPr="00E41067" w14:paraId="155E6152" w14:textId="77777777" w:rsidTr="00B51F57">
        <w:trPr>
          <w:trHeight w:val="1596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14F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Obaly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50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Použité obaly musí být vyrobeny ze snadno recyklovatelného materiálu nebo materiálu z obnovitelných zdrojů, nebo se musí jednat o obalový systém pro opakované použití. Všechny obalové materiály musí být ručně snadno oddělitelné na části tvořené jedním materiálem (např. lepenka, papír, plast, textilie). Nepřípustné jsou obaly z PVC.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51" w14:textId="77777777" w:rsidR="008B18F3" w:rsidRPr="00B51F57" w:rsidRDefault="000F61F8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</w:t>
            </w:r>
            <w:proofErr w:type="gramStart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předloží</w:t>
            </w:r>
            <w:proofErr w:type="gramEnd"/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p</w:t>
            </w:r>
            <w:r w:rsidR="008B18F3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opis obalu výrobku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</w:p>
        </w:tc>
      </w:tr>
    </w:tbl>
    <w:p w14:paraId="155E6153" w14:textId="77777777" w:rsidR="008B18F3" w:rsidRPr="00B51F57" w:rsidRDefault="008B18F3" w:rsidP="009C4743">
      <w:pPr>
        <w:spacing w:before="120" w:after="120"/>
        <w:jc w:val="both"/>
        <w:rPr>
          <w:rFonts w:ascii="Verdana" w:eastAsia="Times New Roman" w:hAnsi="Verdana" w:cs="Arial"/>
          <w:bCs/>
          <w:iCs/>
          <w:sz w:val="18"/>
          <w:szCs w:val="18"/>
        </w:rPr>
      </w:pPr>
    </w:p>
    <w:sectPr w:rsidR="008B18F3" w:rsidRPr="00B51F57" w:rsidSect="00497AED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B72A" w14:textId="77777777" w:rsidR="003036E3" w:rsidRDefault="003036E3" w:rsidP="00F353AE">
      <w:pPr>
        <w:spacing w:after="0" w:line="240" w:lineRule="auto"/>
      </w:pPr>
      <w:r>
        <w:separator/>
      </w:r>
    </w:p>
  </w:endnote>
  <w:endnote w:type="continuationSeparator" w:id="0">
    <w:p w14:paraId="5113A534" w14:textId="77777777" w:rsidR="003036E3" w:rsidRDefault="003036E3" w:rsidP="00F3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168804"/>
      <w:docPartObj>
        <w:docPartGallery w:val="Page Numbers (Bottom of Page)"/>
        <w:docPartUnique/>
      </w:docPartObj>
    </w:sdtPr>
    <w:sdtContent>
      <w:p w14:paraId="155E615A" w14:textId="77777777" w:rsidR="00F353AE" w:rsidRDefault="00F353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AED">
          <w:rPr>
            <w:noProof/>
          </w:rPr>
          <w:t>2</w:t>
        </w:r>
        <w:r>
          <w:fldChar w:fldCharType="end"/>
        </w:r>
      </w:p>
    </w:sdtContent>
  </w:sdt>
  <w:p w14:paraId="155E615B" w14:textId="77777777" w:rsidR="00F353AE" w:rsidRDefault="00F353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D90" w14:textId="77777777" w:rsidR="003036E3" w:rsidRDefault="003036E3" w:rsidP="00F353AE">
      <w:pPr>
        <w:spacing w:after="0" w:line="240" w:lineRule="auto"/>
      </w:pPr>
      <w:r>
        <w:separator/>
      </w:r>
    </w:p>
  </w:footnote>
  <w:footnote w:type="continuationSeparator" w:id="0">
    <w:p w14:paraId="0B0204F9" w14:textId="77777777" w:rsidR="003036E3" w:rsidRDefault="003036E3" w:rsidP="00F3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615C" w14:textId="77777777" w:rsidR="00497AED" w:rsidRDefault="00497AED" w:rsidP="00497AED">
    <w:pPr>
      <w:pStyle w:val="Zhlav"/>
      <w:tabs>
        <w:tab w:val="clear" w:pos="4536"/>
        <w:tab w:val="clear" w:pos="9072"/>
        <w:tab w:val="left" w:pos="7724"/>
      </w:tabs>
      <w:jc w:val="center"/>
    </w:pPr>
    <w:r>
      <w:rPr>
        <w:noProof/>
        <w:lang w:eastAsia="cs-CZ"/>
      </w:rPr>
      <w:drawing>
        <wp:inline distT="0" distB="0" distL="0" distR="0" wp14:anchorId="155E615D" wp14:editId="155E615E">
          <wp:extent cx="5753100" cy="923925"/>
          <wp:effectExtent l="0" t="0" r="0" b="9525"/>
          <wp:docPr id="3" name="Obrázek 3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6F0"/>
    <w:multiLevelType w:val="hybridMultilevel"/>
    <w:tmpl w:val="11BCB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DBB8AAD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30D"/>
    <w:multiLevelType w:val="hybridMultilevel"/>
    <w:tmpl w:val="4162D01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CA4A78"/>
    <w:multiLevelType w:val="hybridMultilevel"/>
    <w:tmpl w:val="59F0C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8E4"/>
    <w:multiLevelType w:val="hybridMultilevel"/>
    <w:tmpl w:val="9ABA6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36E3"/>
    <w:multiLevelType w:val="hybridMultilevel"/>
    <w:tmpl w:val="2DEC40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14477F"/>
    <w:multiLevelType w:val="hybridMultilevel"/>
    <w:tmpl w:val="090A0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5612"/>
    <w:multiLevelType w:val="hybridMultilevel"/>
    <w:tmpl w:val="8D2427C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0C6DD4"/>
    <w:multiLevelType w:val="hybridMultilevel"/>
    <w:tmpl w:val="72826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4158"/>
    <w:multiLevelType w:val="hybridMultilevel"/>
    <w:tmpl w:val="42EA80A8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432"/>
    <w:multiLevelType w:val="hybridMultilevel"/>
    <w:tmpl w:val="C8DA10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8E5679"/>
    <w:multiLevelType w:val="hybridMultilevel"/>
    <w:tmpl w:val="41606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6F3C5F"/>
    <w:multiLevelType w:val="hybridMultilevel"/>
    <w:tmpl w:val="85163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36BCD"/>
    <w:multiLevelType w:val="hybridMultilevel"/>
    <w:tmpl w:val="CAB65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C4921"/>
    <w:multiLevelType w:val="hybridMultilevel"/>
    <w:tmpl w:val="6366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F0034"/>
    <w:multiLevelType w:val="hybridMultilevel"/>
    <w:tmpl w:val="F790FBD2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4458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1296"/>
    <w:multiLevelType w:val="hybridMultilevel"/>
    <w:tmpl w:val="7A80E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72871"/>
    <w:multiLevelType w:val="hybridMultilevel"/>
    <w:tmpl w:val="4CCC9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611BB"/>
    <w:multiLevelType w:val="hybridMultilevel"/>
    <w:tmpl w:val="CD084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61DCD"/>
    <w:multiLevelType w:val="hybridMultilevel"/>
    <w:tmpl w:val="D0D06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A782F"/>
    <w:multiLevelType w:val="hybridMultilevel"/>
    <w:tmpl w:val="0D9A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C52D7"/>
    <w:multiLevelType w:val="hybridMultilevel"/>
    <w:tmpl w:val="9A7AA82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E332BF"/>
    <w:multiLevelType w:val="hybridMultilevel"/>
    <w:tmpl w:val="327E8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6681D"/>
    <w:multiLevelType w:val="hybridMultilevel"/>
    <w:tmpl w:val="622A72F4"/>
    <w:lvl w:ilvl="0" w:tplc="2BBE7B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AD25D9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5382D4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798E84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4B6FB2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F54C66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0EC5E8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C69F5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01A538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D982619"/>
    <w:multiLevelType w:val="hybridMultilevel"/>
    <w:tmpl w:val="847609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252BCF"/>
    <w:multiLevelType w:val="hybridMultilevel"/>
    <w:tmpl w:val="60064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23AA8"/>
    <w:multiLevelType w:val="hybridMultilevel"/>
    <w:tmpl w:val="EF16AB6E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446A4"/>
    <w:multiLevelType w:val="hybridMultilevel"/>
    <w:tmpl w:val="5978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851A1"/>
    <w:multiLevelType w:val="hybridMultilevel"/>
    <w:tmpl w:val="82740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86854">
    <w:abstractNumId w:val="1"/>
  </w:num>
  <w:num w:numId="2" w16cid:durableId="2045011409">
    <w:abstractNumId w:val="22"/>
  </w:num>
  <w:num w:numId="3" w16cid:durableId="1340352618">
    <w:abstractNumId w:val="13"/>
  </w:num>
  <w:num w:numId="4" w16cid:durableId="294798819">
    <w:abstractNumId w:val="11"/>
  </w:num>
  <w:num w:numId="5" w16cid:durableId="1785270162">
    <w:abstractNumId w:val="3"/>
  </w:num>
  <w:num w:numId="6" w16cid:durableId="1962415519">
    <w:abstractNumId w:val="12"/>
  </w:num>
  <w:num w:numId="7" w16cid:durableId="854077472">
    <w:abstractNumId w:val="21"/>
  </w:num>
  <w:num w:numId="8" w16cid:durableId="1033462922">
    <w:abstractNumId w:val="4"/>
  </w:num>
  <w:num w:numId="9" w16cid:durableId="1034690510">
    <w:abstractNumId w:val="8"/>
  </w:num>
  <w:num w:numId="10" w16cid:durableId="1496532322">
    <w:abstractNumId w:val="25"/>
  </w:num>
  <w:num w:numId="11" w16cid:durableId="1544440102">
    <w:abstractNumId w:val="14"/>
  </w:num>
  <w:num w:numId="12" w16cid:durableId="966815320">
    <w:abstractNumId w:val="0"/>
  </w:num>
  <w:num w:numId="13" w16cid:durableId="539823880">
    <w:abstractNumId w:val="24"/>
  </w:num>
  <w:num w:numId="14" w16cid:durableId="1351836303">
    <w:abstractNumId w:val="20"/>
  </w:num>
  <w:num w:numId="15" w16cid:durableId="2064791836">
    <w:abstractNumId w:val="6"/>
  </w:num>
  <w:num w:numId="16" w16cid:durableId="1094396476">
    <w:abstractNumId w:val="19"/>
  </w:num>
  <w:num w:numId="17" w16cid:durableId="1575163942">
    <w:abstractNumId w:val="16"/>
  </w:num>
  <w:num w:numId="18" w16cid:durableId="219681317">
    <w:abstractNumId w:val="10"/>
  </w:num>
  <w:num w:numId="19" w16cid:durableId="1482581219">
    <w:abstractNumId w:val="26"/>
  </w:num>
  <w:num w:numId="20" w16cid:durableId="568349236">
    <w:abstractNumId w:val="2"/>
  </w:num>
  <w:num w:numId="21" w16cid:durableId="977417796">
    <w:abstractNumId w:val="5"/>
  </w:num>
  <w:num w:numId="22" w16cid:durableId="114301738">
    <w:abstractNumId w:val="17"/>
  </w:num>
  <w:num w:numId="23" w16cid:durableId="1135180892">
    <w:abstractNumId w:val="15"/>
  </w:num>
  <w:num w:numId="24" w16cid:durableId="1486582875">
    <w:abstractNumId w:val="18"/>
  </w:num>
  <w:num w:numId="25" w16cid:durableId="952521447">
    <w:abstractNumId w:val="23"/>
  </w:num>
  <w:num w:numId="26" w16cid:durableId="61373183">
    <w:abstractNumId w:val="27"/>
  </w:num>
  <w:num w:numId="27" w16cid:durableId="20203661">
    <w:abstractNumId w:val="9"/>
  </w:num>
  <w:num w:numId="28" w16cid:durableId="654720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7F2"/>
    <w:rsid w:val="00051E0E"/>
    <w:rsid w:val="00056D09"/>
    <w:rsid w:val="000757F2"/>
    <w:rsid w:val="00077E55"/>
    <w:rsid w:val="00080431"/>
    <w:rsid w:val="00080789"/>
    <w:rsid w:val="000F61F8"/>
    <w:rsid w:val="00152CB6"/>
    <w:rsid w:val="00193300"/>
    <w:rsid w:val="0019378D"/>
    <w:rsid w:val="001A1A97"/>
    <w:rsid w:val="001A41C4"/>
    <w:rsid w:val="001A6736"/>
    <w:rsid w:val="001D0B33"/>
    <w:rsid w:val="001F0408"/>
    <w:rsid w:val="00200B75"/>
    <w:rsid w:val="0029547B"/>
    <w:rsid w:val="002B4BA9"/>
    <w:rsid w:val="002C7298"/>
    <w:rsid w:val="003036E3"/>
    <w:rsid w:val="0032137B"/>
    <w:rsid w:val="003A1F47"/>
    <w:rsid w:val="003B64BB"/>
    <w:rsid w:val="003D4A6A"/>
    <w:rsid w:val="003D56EC"/>
    <w:rsid w:val="003D5A11"/>
    <w:rsid w:val="003E11E0"/>
    <w:rsid w:val="004046D6"/>
    <w:rsid w:val="00423830"/>
    <w:rsid w:val="00456261"/>
    <w:rsid w:val="00497AED"/>
    <w:rsid w:val="004C2239"/>
    <w:rsid w:val="004E40B2"/>
    <w:rsid w:val="00520959"/>
    <w:rsid w:val="00527A62"/>
    <w:rsid w:val="00533DEA"/>
    <w:rsid w:val="00536FEF"/>
    <w:rsid w:val="00550DC5"/>
    <w:rsid w:val="00573CE0"/>
    <w:rsid w:val="005826ED"/>
    <w:rsid w:val="005C7CD5"/>
    <w:rsid w:val="0062131A"/>
    <w:rsid w:val="00623357"/>
    <w:rsid w:val="006A0542"/>
    <w:rsid w:val="006C3AE7"/>
    <w:rsid w:val="006D7D45"/>
    <w:rsid w:val="00710390"/>
    <w:rsid w:val="00741F18"/>
    <w:rsid w:val="00791FDE"/>
    <w:rsid w:val="00792FBA"/>
    <w:rsid w:val="007B0977"/>
    <w:rsid w:val="007C25AE"/>
    <w:rsid w:val="007C61FB"/>
    <w:rsid w:val="007F4979"/>
    <w:rsid w:val="00862654"/>
    <w:rsid w:val="00877E8C"/>
    <w:rsid w:val="008B18F3"/>
    <w:rsid w:val="008C761B"/>
    <w:rsid w:val="0091222C"/>
    <w:rsid w:val="00951DFA"/>
    <w:rsid w:val="00965968"/>
    <w:rsid w:val="00983E97"/>
    <w:rsid w:val="009A0D4A"/>
    <w:rsid w:val="009C4743"/>
    <w:rsid w:val="009E0DCA"/>
    <w:rsid w:val="00A44965"/>
    <w:rsid w:val="00A609ED"/>
    <w:rsid w:val="00A65A4E"/>
    <w:rsid w:val="00A70287"/>
    <w:rsid w:val="00A71A1B"/>
    <w:rsid w:val="00A83741"/>
    <w:rsid w:val="00AA65C8"/>
    <w:rsid w:val="00B44EB1"/>
    <w:rsid w:val="00B51F57"/>
    <w:rsid w:val="00B81FFD"/>
    <w:rsid w:val="00B84A60"/>
    <w:rsid w:val="00B90B83"/>
    <w:rsid w:val="00BB31C0"/>
    <w:rsid w:val="00BF7A34"/>
    <w:rsid w:val="00C33B69"/>
    <w:rsid w:val="00CA4CFC"/>
    <w:rsid w:val="00CC16FC"/>
    <w:rsid w:val="00CF0B8E"/>
    <w:rsid w:val="00D01DA2"/>
    <w:rsid w:val="00D01F36"/>
    <w:rsid w:val="00D01F7B"/>
    <w:rsid w:val="00D10942"/>
    <w:rsid w:val="00D80E89"/>
    <w:rsid w:val="00D856C3"/>
    <w:rsid w:val="00DA5AE9"/>
    <w:rsid w:val="00DC75C8"/>
    <w:rsid w:val="00DE0700"/>
    <w:rsid w:val="00DE36EB"/>
    <w:rsid w:val="00E2200A"/>
    <w:rsid w:val="00E41067"/>
    <w:rsid w:val="00E72FE4"/>
    <w:rsid w:val="00E861C3"/>
    <w:rsid w:val="00EA43A8"/>
    <w:rsid w:val="00EB52BD"/>
    <w:rsid w:val="00ED5749"/>
    <w:rsid w:val="00F353AE"/>
    <w:rsid w:val="00F56E48"/>
    <w:rsid w:val="00F60F8E"/>
    <w:rsid w:val="00F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E6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78D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19378D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19378D"/>
    <w:rPr>
      <w:rFonts w:eastAsiaTheme="minorEastAsia"/>
    </w:rPr>
  </w:style>
  <w:style w:type="paragraph" w:customStyle="1" w:styleId="Styl11">
    <w:name w:val="Styl11"/>
    <w:basedOn w:val="Normln"/>
    <w:link w:val="Styl11Char"/>
    <w:rsid w:val="0019378D"/>
    <w:pPr>
      <w:spacing w:after="120"/>
      <w:contextualSpacing/>
      <w:jc w:val="both"/>
    </w:pPr>
    <w:rPr>
      <w:rFonts w:ascii="Arial" w:hAnsi="Arial" w:cs="Arial"/>
      <w:lang w:eastAsia="cs-CZ"/>
    </w:rPr>
  </w:style>
  <w:style w:type="character" w:customStyle="1" w:styleId="Styl11Char">
    <w:name w:val="Styl11 Char"/>
    <w:basedOn w:val="Standardnpsmoodstavce"/>
    <w:link w:val="Styl11"/>
    <w:rsid w:val="0019378D"/>
    <w:rPr>
      <w:rFonts w:ascii="Arial" w:eastAsiaTheme="minorEastAsia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AE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A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AE"/>
    <w:rPr>
      <w:rFonts w:ascii="Tahoma" w:eastAsiaTheme="min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404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6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46D6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6D6"/>
    <w:rPr>
      <w:rFonts w:eastAsiaTheme="minorEastAsia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22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222C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222C"/>
    <w:rPr>
      <w:vertAlign w:val="superscript"/>
    </w:rPr>
  </w:style>
  <w:style w:type="paragraph" w:styleId="Revize">
    <w:name w:val="Revision"/>
    <w:hidden/>
    <w:uiPriority w:val="99"/>
    <w:semiHidden/>
    <w:rsid w:val="00E2200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135E-2895-41EE-A32D-9FCC3115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1888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2023-03-30T10:52:00Z</dcterms:created>
  <dcterms:modified xsi:type="dcterms:W3CDTF">2023-03-30T10:52:00Z</dcterms:modified>
</cp:coreProperties>
</file>