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0BA0" w14:textId="77777777" w:rsidR="00A75EDD" w:rsidRDefault="00A75EDD" w:rsidP="00A75EDD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color w:val="000000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000000"/>
          <w:lang w:eastAsia="en-US"/>
        </w:rPr>
        <w:t>Ujednání k postupu při hlášení a likvidaci škodních událostí (dále jen „ŠU“)</w:t>
      </w:r>
    </w:p>
    <w:p w14:paraId="30CEC2B5" w14:textId="77777777" w:rsidR="00A75EDD" w:rsidRDefault="00A75EDD" w:rsidP="00A75EDD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color w:val="000000"/>
          <w:sz w:val="20"/>
          <w:szCs w:val="20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000000"/>
          <w:sz w:val="20"/>
          <w:szCs w:val="20"/>
          <w:lang w:eastAsia="en-US"/>
        </w:rPr>
        <w:t>Pojistný produkt: Pojištění majetku</w:t>
      </w:r>
    </w:p>
    <w:p w14:paraId="07105B78" w14:textId="4E722FF9" w:rsidR="00A75EDD" w:rsidRDefault="00A75EDD" w:rsidP="00A75ED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0000"/>
          <w:sz w:val="20"/>
          <w:szCs w:val="20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000000"/>
          <w:sz w:val="20"/>
          <w:szCs w:val="20"/>
          <w:lang w:eastAsia="en-US"/>
        </w:rPr>
        <w:t xml:space="preserve">Číslo pojistné smlouvy </w:t>
      </w:r>
      <w:r w:rsidR="00310130" w:rsidRPr="00BD6F48">
        <w:rPr>
          <w:rFonts w:ascii="Arial-BoldMT" w:eastAsiaTheme="minorHAnsi" w:hAnsi="Arial-BoldMT" w:cs="Arial-BoldMT"/>
          <w:b/>
          <w:bCs/>
          <w:color w:val="000000"/>
          <w:sz w:val="20"/>
          <w:szCs w:val="20"/>
          <w:lang w:eastAsia="en-US"/>
        </w:rPr>
        <w:t>1690824028</w:t>
      </w:r>
    </w:p>
    <w:p w14:paraId="1946BDBA" w14:textId="77777777" w:rsidR="00F752A0" w:rsidRDefault="00F752A0" w:rsidP="00A75ED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0000"/>
          <w:sz w:val="20"/>
          <w:szCs w:val="20"/>
          <w:lang w:eastAsia="en-US"/>
        </w:rPr>
      </w:pPr>
    </w:p>
    <w:p w14:paraId="1991C989" w14:textId="49E942CA" w:rsidR="00A75EDD" w:rsidRDefault="00A75EDD" w:rsidP="00A75ED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color w:val="000000"/>
          <w:sz w:val="20"/>
          <w:szCs w:val="20"/>
          <w:u w:val="single"/>
          <w:lang w:eastAsia="en-US"/>
        </w:rPr>
      </w:pPr>
      <w:r w:rsidRPr="00A75EDD">
        <w:rPr>
          <w:rFonts w:ascii="Arial-BoldMT" w:eastAsiaTheme="minorHAnsi" w:hAnsi="Arial-BoldMT" w:cs="Arial-BoldMT"/>
          <w:b/>
          <w:bCs/>
          <w:color w:val="000000"/>
          <w:sz w:val="20"/>
          <w:szCs w:val="20"/>
          <w:u w:val="single"/>
          <w:lang w:eastAsia="en-US"/>
        </w:rPr>
        <w:t>Hlášení škodních událostí – pojištění majetku vč. pojištění kolejových vozidel</w:t>
      </w:r>
    </w:p>
    <w:p w14:paraId="14B41E65" w14:textId="77777777" w:rsidR="00F752A0" w:rsidRPr="00A75EDD" w:rsidRDefault="00F752A0" w:rsidP="00F752A0">
      <w:pPr>
        <w:pStyle w:val="Odstavecseseznamem"/>
        <w:autoSpaceDE w:val="0"/>
        <w:autoSpaceDN w:val="0"/>
        <w:adjustRightInd w:val="0"/>
        <w:ind w:left="765"/>
        <w:rPr>
          <w:rFonts w:ascii="Arial-BoldMT" w:eastAsiaTheme="minorHAnsi" w:hAnsi="Arial-BoldMT" w:cs="Arial-BoldMT"/>
          <w:b/>
          <w:bCs/>
          <w:color w:val="000000"/>
          <w:sz w:val="20"/>
          <w:szCs w:val="20"/>
          <w:u w:val="single"/>
          <w:lang w:eastAsia="en-US"/>
        </w:rPr>
      </w:pPr>
    </w:p>
    <w:p w14:paraId="7A3C7B81" w14:textId="760D317B" w:rsidR="00F752A0" w:rsidRPr="00F11866" w:rsidRDefault="00F752A0" w:rsidP="00A75EDD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_Hlk121900441"/>
      <w:bookmarkStart w:id="1" w:name="_Hlk121900490"/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Pojistník bude škody vzniklé z pojištění majetku hlásit pojistiteli prostřednictvím pojistitelem zplnomocněného pojišťovacího agenta (dále jen „správce“) na e</w:t>
      </w: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mailovou adresu </w:t>
      </w:r>
      <w:r w:rsidR="00822EA8">
        <w:rPr>
          <w:rFonts w:ascii="Arial" w:eastAsiaTheme="minorHAnsi" w:hAnsi="Arial" w:cs="Arial"/>
          <w:sz w:val="20"/>
          <w:szCs w:val="20"/>
          <w:lang w:eastAsia="en-US"/>
        </w:rPr>
        <w:t>xxx</w:t>
      </w: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prostřednictvím přiloženého formuláře </w:t>
      </w:r>
      <w:r w:rsidRPr="00F11866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OZNÁMENÍ ŠKODNÍ UDÁLOSTI</w:t>
      </w:r>
    </w:p>
    <w:bookmarkEnd w:id="0"/>
    <w:bookmarkEnd w:id="1"/>
    <w:p w14:paraId="0353FD80" w14:textId="77777777" w:rsidR="00336C78" w:rsidRDefault="00336C78" w:rsidP="00A75EDD">
      <w:pPr>
        <w:autoSpaceDE w:val="0"/>
        <w:autoSpaceDN w:val="0"/>
        <w:adjustRightInd w:val="0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</w:p>
    <w:p w14:paraId="1838205B" w14:textId="71066E17" w:rsidR="00A75EDD" w:rsidRPr="00F11866" w:rsidRDefault="00A75EDD" w:rsidP="00A75ED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Pro registraci škodní události je třeba uvádět vždy číslo pojistné smlouvy a kontaktní osobu</w:t>
      </w:r>
      <w:r w:rsidRPr="00F11866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, která je pro</w:t>
      </w:r>
      <w:r w:rsidR="00F752A0" w:rsidRPr="00F11866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r w:rsidRPr="00F11866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případ jednání k příslušné škodní události pověřena a kontakt na ni (jméno a příjmení, telefon, e</w:t>
      </w:r>
      <w:r w:rsidRPr="00F1186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mail).</w:t>
      </w:r>
    </w:p>
    <w:p w14:paraId="1EBA5C0C" w14:textId="77777777" w:rsidR="00F752A0" w:rsidRPr="00F11866" w:rsidRDefault="00F752A0" w:rsidP="00A75ED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5BC60834" w14:textId="14F69458" w:rsidR="00A75EDD" w:rsidRPr="00F11866" w:rsidRDefault="00A75EDD" w:rsidP="00A75EDD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 w:rsidRPr="00F11866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Zasílání potvrzení o registraci </w:t>
      </w:r>
      <w:r w:rsidRPr="00F11866"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sdělení čísla pojistné události </w:t>
      </w: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dále jen „PU“, pod kterým je škodní událost</w:t>
      </w:r>
      <w:r w:rsidR="00F752A0"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registrována) bude probíhat </w:t>
      </w:r>
      <w:r w:rsidRPr="00F1186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e-mailem </w:t>
      </w: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na </w:t>
      </w:r>
      <w:r w:rsidR="00822EA8">
        <w:rPr>
          <w:rFonts w:ascii="Arial" w:eastAsiaTheme="minorHAnsi" w:hAnsi="Arial" w:cs="Arial"/>
          <w:sz w:val="20"/>
          <w:szCs w:val="20"/>
          <w:lang w:eastAsia="en-US"/>
        </w:rPr>
        <w:t>xxx</w:t>
      </w: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 v p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ožadované lhůtě </w:t>
      </w:r>
      <w:r w:rsidRPr="00F1186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do 24 hodin. 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Tato lhůta (dodržení 24</w:t>
      </w:r>
      <w:r w:rsidR="00F752A0"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hodin) platí pro běžné pracovní dny. Pokud bude hlášení zasláno v pátek odpoledne, bude potvrzení</w:t>
      </w:r>
      <w:r w:rsidR="00F752A0"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odesláno po víkendu v pondělí následujícího týdne, resp. následující nejbližší pracovní den.</w:t>
      </w:r>
    </w:p>
    <w:p w14:paraId="6709A34D" w14:textId="77777777" w:rsidR="00F752A0" w:rsidRPr="00F11866" w:rsidRDefault="00F752A0" w:rsidP="00A75EDD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57358828" w14:textId="77777777" w:rsidR="00A75EDD" w:rsidRPr="00F11866" w:rsidRDefault="00A75EDD" w:rsidP="00A75EDD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Komunikace 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probíhá prostřednictvím správce:</w:t>
      </w:r>
    </w:p>
    <w:p w14:paraId="249096C3" w14:textId="5B40EA01" w:rsidR="00310130" w:rsidRPr="00BD23F0" w:rsidRDefault="00822EA8" w:rsidP="00310130">
      <w:pPr>
        <w:autoSpaceDE w:val="0"/>
        <w:autoSpaceDN w:val="0"/>
        <w:adjustRightInd w:val="0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  <w:r>
        <w:rPr>
          <w:rFonts w:ascii="ArialMT" w:eastAsiaTheme="minorHAnsi" w:hAnsi="ArialMT" w:cs="ArialMT"/>
          <w:b/>
          <w:color w:val="000000"/>
          <w:sz w:val="20"/>
          <w:szCs w:val="20"/>
          <w:lang w:eastAsia="en-US"/>
        </w:rPr>
        <w:t>xxx</w:t>
      </w:r>
    </w:p>
    <w:p w14:paraId="59F48EBB" w14:textId="77777777" w:rsidR="00310130" w:rsidRPr="00BD23F0" w:rsidRDefault="00310130" w:rsidP="00310130">
      <w:pPr>
        <w:autoSpaceDE w:val="0"/>
        <w:autoSpaceDN w:val="0"/>
        <w:adjustRightInd w:val="0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  <w:r w:rsidRPr="00BD23F0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</w:t>
      </w:r>
    </w:p>
    <w:p w14:paraId="16147840" w14:textId="77777777" w:rsidR="00310130" w:rsidRPr="00BD23F0" w:rsidRDefault="00310130" w:rsidP="00310130">
      <w:pPr>
        <w:autoSpaceDE w:val="0"/>
        <w:autoSpaceDN w:val="0"/>
        <w:adjustRightInd w:val="0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  <w:r w:rsidRPr="00BD23F0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Zástupce pro jednání v otázkách škod: </w:t>
      </w:r>
    </w:p>
    <w:p w14:paraId="079E8F2A" w14:textId="6A779412" w:rsidR="00310130" w:rsidRPr="00BD23F0" w:rsidRDefault="00822EA8" w:rsidP="00310130">
      <w:pPr>
        <w:autoSpaceDE w:val="0"/>
        <w:autoSpaceDN w:val="0"/>
        <w:adjustRightInd w:val="0"/>
        <w:rPr>
          <w:rFonts w:ascii="ArialMT" w:eastAsiaTheme="minorHAnsi" w:hAnsi="ArialMT" w:cs="ArialMT"/>
          <w:color w:val="000000"/>
          <w:sz w:val="20"/>
          <w:szCs w:val="20"/>
          <w:lang w:eastAsia="en-US"/>
        </w:rPr>
      </w:pPr>
      <w:r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>xxx</w:t>
      </w:r>
    </w:p>
    <w:p w14:paraId="04963D0A" w14:textId="77777777" w:rsidR="00F752A0" w:rsidRPr="00F11866" w:rsidRDefault="00F752A0" w:rsidP="00A75EDD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7B8E281" w14:textId="12B0493B" w:rsidR="00A75EDD" w:rsidRPr="00F11866" w:rsidRDefault="00A75EDD" w:rsidP="00F752A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0"/>
          <w:szCs w:val="20"/>
          <w:u w:val="single"/>
          <w:lang w:eastAsia="en-US"/>
        </w:rPr>
      </w:pPr>
      <w:r w:rsidRPr="00F11866">
        <w:rPr>
          <w:rFonts w:ascii="Arial-BoldMT" w:eastAsiaTheme="minorHAnsi" w:hAnsi="Arial-BoldMT" w:cs="Arial-BoldMT"/>
          <w:b/>
          <w:bCs/>
          <w:sz w:val="20"/>
          <w:szCs w:val="20"/>
          <w:u w:val="single"/>
          <w:lang w:eastAsia="en-US"/>
        </w:rPr>
        <w:t>Likvidace škodních událostí – pojištění majetku a pojištění kolejových vozidel</w:t>
      </w:r>
    </w:p>
    <w:p w14:paraId="0FF61070" w14:textId="77777777" w:rsidR="00F752A0" w:rsidRPr="00F11866" w:rsidRDefault="00F752A0" w:rsidP="00F752A0">
      <w:pPr>
        <w:pStyle w:val="Odstavecseseznamem"/>
        <w:autoSpaceDE w:val="0"/>
        <w:autoSpaceDN w:val="0"/>
        <w:adjustRightInd w:val="0"/>
        <w:ind w:left="765"/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</w:pPr>
    </w:p>
    <w:p w14:paraId="19E9707B" w14:textId="49B8EDE6" w:rsidR="00A75EDD" w:rsidRPr="00F11866" w:rsidRDefault="00A75EDD" w:rsidP="00A75EDD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Bezprostředně po přidělení vyřizujícího likvidátora, bude klientovi </w:t>
      </w:r>
      <w:r w:rsidR="00F752A0" w:rsidRPr="00F11866">
        <w:rPr>
          <w:rFonts w:ascii="ArialMT" w:eastAsiaTheme="minorHAnsi" w:hAnsi="ArialMT" w:cs="ArialMT"/>
          <w:sz w:val="20"/>
          <w:szCs w:val="20"/>
          <w:lang w:eastAsia="en-US"/>
        </w:rPr>
        <w:t>pojistitelem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F752A0"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prostřednictvím 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správc</w:t>
      </w:r>
      <w:r w:rsidR="00F752A0" w:rsidRPr="00F11866">
        <w:rPr>
          <w:rFonts w:ascii="ArialMT" w:eastAsiaTheme="minorHAnsi" w:hAnsi="ArialMT" w:cs="ArialMT"/>
          <w:sz w:val="20"/>
          <w:szCs w:val="20"/>
          <w:lang w:eastAsia="en-US"/>
        </w:rPr>
        <w:t>e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, tedy na </w:t>
      </w:r>
      <w:r w:rsidR="00822EA8">
        <w:t xml:space="preserve">xxx 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odesílána zpráva k příslušnému číslu</w:t>
      </w:r>
      <w:r w:rsidR="00C215E4" w:rsidRPr="00F11866">
        <w:rPr>
          <w:rFonts w:ascii="ArialMT" w:eastAsiaTheme="minorHAnsi" w:hAnsi="ArialMT" w:cs="ArialMT"/>
          <w:sz w:val="20"/>
          <w:szCs w:val="20"/>
          <w:lang w:eastAsia="en-US"/>
        </w:rPr>
        <w:t>,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 pod jakým je škodní událost registrována s informací o:</w:t>
      </w:r>
    </w:p>
    <w:p w14:paraId="20A3EE95" w14:textId="77777777" w:rsidR="00F752A0" w:rsidRPr="00F11866" w:rsidRDefault="00F752A0" w:rsidP="00A75EDD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2B8CCC04" w14:textId="0A102C31" w:rsidR="00A75EDD" w:rsidRPr="00F11866" w:rsidRDefault="00A75EDD" w:rsidP="00C215E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 w:rsidRPr="00F1186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specifikaci </w:t>
      </w:r>
      <w:r w:rsidRPr="00F11866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dokladů, 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které je třeba ke konkrétní události doložit</w:t>
      </w:r>
    </w:p>
    <w:p w14:paraId="537B8B2C" w14:textId="2FC72272" w:rsidR="00A75EDD" w:rsidRPr="00F11866" w:rsidRDefault="00A75EDD" w:rsidP="00C215E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</w:pPr>
      <w:r w:rsidRPr="00F11866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kontakt na vyřizujícího likvidátora</w:t>
      </w:r>
    </w:p>
    <w:p w14:paraId="4596E908" w14:textId="4AD5E071" w:rsidR="00A75EDD" w:rsidRPr="00F11866" w:rsidRDefault="00A75EDD" w:rsidP="00C215E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</w:pPr>
      <w:r w:rsidRPr="00F11866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likvidátor rozhodne o zadání prohlídky poškozené věci</w:t>
      </w:r>
    </w:p>
    <w:p w14:paraId="79CC64A3" w14:textId="77777777" w:rsidR="00C215E4" w:rsidRPr="00F11866" w:rsidRDefault="00C215E4" w:rsidP="00A75EDD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68F564E9" w14:textId="30987E58" w:rsidR="00A75EDD" w:rsidRPr="00F11866" w:rsidRDefault="00A75EDD" w:rsidP="00A75EDD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Podle charakteru škody dojde ze strany </w:t>
      </w: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Generali 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České pojišťovny a.s. k rozhodnutí o potřebě prohlídky </w:t>
      </w:r>
      <w:r w:rsidRPr="00F11866">
        <w:rPr>
          <w:rFonts w:ascii="Arial" w:eastAsiaTheme="minorHAnsi" w:hAnsi="Arial" w:cs="Arial"/>
          <w:sz w:val="20"/>
          <w:szCs w:val="20"/>
          <w:lang w:eastAsia="en-US"/>
        </w:rPr>
        <w:t>na</w:t>
      </w:r>
      <w:r w:rsidR="00C215E4"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místě vzniku škody. Správce se následně spojí s příslušnou kontaktní osobou na straně pojistníka.</w:t>
      </w:r>
    </w:p>
    <w:p w14:paraId="6533B522" w14:textId="77777777" w:rsidR="00C215E4" w:rsidRPr="00F11866" w:rsidRDefault="00C215E4" w:rsidP="00A75EDD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292D32A3" w14:textId="77777777" w:rsidR="00A75EDD" w:rsidRPr="00F11866" w:rsidRDefault="00A75EDD" w:rsidP="00A75EDD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0"/>
          <w:szCs w:val="20"/>
          <w:u w:val="single"/>
          <w:lang w:eastAsia="en-US"/>
        </w:rPr>
      </w:pPr>
      <w:r w:rsidRPr="00F11866">
        <w:rPr>
          <w:rFonts w:ascii="Arial-BoldMT" w:eastAsiaTheme="minorHAnsi" w:hAnsi="Arial-BoldMT" w:cs="Arial-BoldMT"/>
          <w:b/>
          <w:bCs/>
          <w:sz w:val="20"/>
          <w:szCs w:val="20"/>
          <w:u w:val="single"/>
          <w:lang w:eastAsia="en-US"/>
        </w:rPr>
        <w:t>Zasílání dokladů k již zaregistrované škodní události – pojištění majetku a pojištění kolejových</w:t>
      </w:r>
    </w:p>
    <w:p w14:paraId="45FC5195" w14:textId="73A7FCDD" w:rsidR="00A75EDD" w:rsidRPr="00F11866" w:rsidRDefault="00C215E4" w:rsidP="00A75ED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 w:rsidRPr="00F11866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v</w:t>
      </w:r>
      <w:r w:rsidR="00A75EDD" w:rsidRPr="00F11866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ozidel</w:t>
      </w:r>
      <w:r w:rsidRPr="00F11866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 </w:t>
      </w:r>
    </w:p>
    <w:p w14:paraId="3A6C50F3" w14:textId="77777777" w:rsidR="00C215E4" w:rsidRPr="00F11866" w:rsidRDefault="00C215E4" w:rsidP="00A75ED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4D202908" w14:textId="513B3D9B" w:rsidR="00A75EDD" w:rsidRPr="00F11866" w:rsidRDefault="00A75EDD" w:rsidP="00C215E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Následné odesílání dokladů k již zaregistrované škodní události (účet od opravy, faktura, smlouva o dílo,</w:t>
      </w:r>
      <w:r w:rsidR="00C215E4"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protokol Policie ČR, žádost o náhradu škody, objednávka prací, apod.) bude realizováno prostřednictvím</w:t>
      </w:r>
      <w:r w:rsidR="00C215E4"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správce </w:t>
      </w:r>
      <w:r w:rsidRPr="00F1186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exter</w:t>
      </w:r>
      <w:r w:rsidRPr="00F11866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ním uploadem 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přímo k příslušné škodní události.</w:t>
      </w:r>
    </w:p>
    <w:p w14:paraId="68B745FD" w14:textId="5A04DD37" w:rsidR="00C215E4" w:rsidRPr="00F11866" w:rsidRDefault="00C215E4" w:rsidP="00C215E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1460C7A2" w14:textId="77777777" w:rsidR="00C215E4" w:rsidRPr="00F11866" w:rsidRDefault="00C215E4" w:rsidP="00C215E4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</w:pP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Požadované podklady mohou být pojistiteli </w:t>
      </w:r>
      <w:r w:rsidRPr="00F11866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předány elektronicky v naskenované podobě</w:t>
      </w:r>
    </w:p>
    <w:p w14:paraId="5FD74A6C" w14:textId="51B9692E" w:rsidR="00C215E4" w:rsidRPr="00F11866" w:rsidRDefault="00C215E4" w:rsidP="00C215E4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F11866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prostřednictvím internetových stránek </w:t>
      </w:r>
      <w:hyperlink r:id="rId8" w:history="1">
        <w:r w:rsidRPr="00F11866">
          <w:rPr>
            <w:rStyle w:val="Hypertextovodkaz"/>
            <w:rFonts w:ascii="Arial" w:eastAsiaTheme="minorHAnsi" w:hAnsi="Arial" w:cs="Arial"/>
            <w:color w:val="auto"/>
            <w:sz w:val="20"/>
            <w:szCs w:val="20"/>
            <w:lang w:eastAsia="en-US"/>
          </w:rPr>
          <w:t>www.generaliceska.cz/klient</w:t>
        </w:r>
      </w:hyperlink>
      <w:r w:rsidRPr="00F11866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104EDF7" w14:textId="77777777" w:rsidR="000846E0" w:rsidRPr="00F11866" w:rsidRDefault="000846E0" w:rsidP="00C215E4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C8E2FF4" w14:textId="77777777" w:rsidR="00C215E4" w:rsidRDefault="00C215E4" w:rsidP="00C215E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Ve 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vzájemné komunikaci je vždy nezbytně nutné uvádět číslo škodní události, pod kterým je registrováno.</w:t>
      </w:r>
    </w:p>
    <w:p w14:paraId="2D859CBA" w14:textId="77777777" w:rsidR="00450C9E" w:rsidRPr="00F11866" w:rsidRDefault="00450C9E" w:rsidP="00C215E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15D26DF9" w14:textId="77777777" w:rsidR="00C215E4" w:rsidRPr="00F11866" w:rsidRDefault="00C215E4" w:rsidP="00C215E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Na základě toho dojde k bezproblémovému zpracování a přiřazení dokumentů k elektronickému spisu</w:t>
      </w:r>
    </w:p>
    <w:p w14:paraId="44D1A420" w14:textId="0FA2A822" w:rsidR="00C215E4" w:rsidRPr="00F11866" w:rsidRDefault="00C215E4" w:rsidP="00C215E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škodní události.</w:t>
      </w:r>
    </w:p>
    <w:p w14:paraId="6E18DE04" w14:textId="77777777" w:rsidR="00C215E4" w:rsidRPr="00F11866" w:rsidRDefault="00C215E4" w:rsidP="00C215E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39924215" w14:textId="2652C8BE" w:rsidR="00C215E4" w:rsidRPr="00F11866" w:rsidRDefault="00C215E4" w:rsidP="00C215E4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</w:pPr>
      <w:r w:rsidRPr="00F11866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Kontaktní osoby za vedoucího pojistitele pro případ dotazů k likvidaci pojistných událostí z pojištění</w:t>
      </w:r>
    </w:p>
    <w:p w14:paraId="604AA39B" w14:textId="77777777" w:rsidR="00C215E4" w:rsidRPr="00F11866" w:rsidRDefault="00C215E4" w:rsidP="00C215E4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</w:pPr>
    </w:p>
    <w:p w14:paraId="3AFDED08" w14:textId="77777777" w:rsidR="00C215E4" w:rsidRPr="00F11866" w:rsidRDefault="00C215E4" w:rsidP="00C215E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F11866">
        <w:rPr>
          <w:rFonts w:ascii="Arial" w:eastAsiaTheme="minorHAnsi" w:hAnsi="Arial" w:cs="Arial"/>
          <w:b/>
          <w:bCs/>
          <w:sz w:val="20"/>
          <w:szCs w:val="20"/>
          <w:lang w:eastAsia="en-US"/>
        </w:rPr>
        <w:lastRenderedPageBreak/>
        <w:t>majetku:</w:t>
      </w:r>
    </w:p>
    <w:p w14:paraId="1F4A5A3F" w14:textId="0F7C7ACD" w:rsidR="00C215E4" w:rsidRPr="00F11866" w:rsidRDefault="00822EA8" w:rsidP="00C215E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xxx</w:t>
      </w:r>
    </w:p>
    <w:p w14:paraId="569A7191" w14:textId="77777777" w:rsidR="00C215E4" w:rsidRPr="00F11866" w:rsidRDefault="00C215E4" w:rsidP="00C215E4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7C09A6A" w14:textId="1261B92B" w:rsidR="00C215E4" w:rsidRPr="00F11866" w:rsidRDefault="00C215E4" w:rsidP="00C215E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Likvidace 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škodní události probíhá v </w:t>
      </w: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souladu s 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příslušnými pojistnými podmínkami a smluvním ujednáním předmětné pojistné smlouvy.</w:t>
      </w:r>
    </w:p>
    <w:p w14:paraId="4A0968C8" w14:textId="77777777" w:rsidR="00C215E4" w:rsidRPr="00F11866" w:rsidRDefault="00C215E4" w:rsidP="00C215E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35356254" w14:textId="0BC7EDD6" w:rsidR="00C215E4" w:rsidRPr="00F11866" w:rsidRDefault="00C215E4" w:rsidP="00C215E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Po shromáždění podkladů potřebných k likvidaci a ukončení šetření poukáže pojistitel náhradu škody na klientem uvedené bankovní spojení ve lhůtě 48 hodin.</w:t>
      </w:r>
    </w:p>
    <w:p w14:paraId="0FFBD070" w14:textId="77777777" w:rsidR="00C215E4" w:rsidRPr="00F11866" w:rsidRDefault="00C215E4" w:rsidP="00C215E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072DE2E4" w14:textId="0D9B3298" w:rsidR="00C215E4" w:rsidRPr="00F11866" w:rsidRDefault="00C215E4" w:rsidP="00C215E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Současně s výplatou pojistného plnění je odesílán </w:t>
      </w:r>
      <w:bookmarkStart w:id="2" w:name="_Hlk121901624"/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klientovi prostřednictvím </w:t>
      </w:r>
      <w:bookmarkEnd w:id="2"/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správce dopis „Informace o pojistném plnění“.</w:t>
      </w:r>
    </w:p>
    <w:p w14:paraId="3B9FD42E" w14:textId="77777777" w:rsidR="00C215E4" w:rsidRPr="00F11866" w:rsidRDefault="00C215E4" w:rsidP="00C215E4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1721452" w14:textId="4A13A78C" w:rsidR="00C215E4" w:rsidRPr="00F11866" w:rsidRDefault="00C215E4" w:rsidP="00C215E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V 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případě, že škodní událost je nelikvidní, odesílá likvidátor zamítací dopis klientovi prostřednictvím správce s uvedením důvodů zamítnutí pojistného plnění k dalšímu projednání.</w:t>
      </w:r>
    </w:p>
    <w:p w14:paraId="1B2C5DDD" w14:textId="77777777" w:rsidR="00C215E4" w:rsidRPr="00F11866" w:rsidRDefault="00C215E4" w:rsidP="00C215E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60824B4E" w14:textId="5536C7B8" w:rsidR="00C215E4" w:rsidRPr="00F11866" w:rsidRDefault="00C215E4" w:rsidP="00C215E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0"/>
          <w:szCs w:val="20"/>
          <w:u w:val="single"/>
          <w:lang w:eastAsia="en-US"/>
        </w:rPr>
      </w:pPr>
      <w:r w:rsidRPr="00F11866">
        <w:rPr>
          <w:rFonts w:ascii="Arial-BoldMT" w:eastAsiaTheme="minorHAnsi" w:hAnsi="Arial-BoldMT" w:cs="Arial-BoldMT"/>
          <w:b/>
          <w:bCs/>
          <w:sz w:val="20"/>
          <w:szCs w:val="20"/>
          <w:u w:val="single"/>
          <w:lang w:eastAsia="en-US"/>
        </w:rPr>
        <w:t>Reporty škodných událostí – pojištění majetku a pojištění kolejových vozidel</w:t>
      </w:r>
    </w:p>
    <w:p w14:paraId="3198AF5E" w14:textId="77777777" w:rsidR="00C215E4" w:rsidRPr="00F11866" w:rsidRDefault="00C215E4" w:rsidP="00C215E4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0"/>
          <w:szCs w:val="20"/>
          <w:u w:val="single"/>
          <w:lang w:eastAsia="en-US"/>
        </w:rPr>
      </w:pPr>
    </w:p>
    <w:p w14:paraId="04E06C9E" w14:textId="6325D4BD" w:rsidR="00C215E4" w:rsidRPr="00F11866" w:rsidRDefault="00C215E4" w:rsidP="00C215E4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Požadované reporty o škodách z pojištění majetku budou</w:t>
      </w:r>
      <w:r w:rsidR="00FA3981"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 klientovi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 zasílány 1x měsíčně (vždy do 5. dne v měsíci </w:t>
      </w:r>
      <w:r w:rsidR="00FA3981" w:rsidRPr="00F11866">
        <w:rPr>
          <w:rFonts w:ascii="ArialMT" w:eastAsiaTheme="minorHAnsi" w:hAnsi="ArialMT" w:cs="ArialMT"/>
          <w:sz w:val="20"/>
          <w:szCs w:val="20"/>
          <w:lang w:eastAsia="en-US"/>
        </w:rPr>
        <w:t>prostřednictvím správce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 na e</w:t>
      </w: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-mail: </w:t>
      </w:r>
      <w:hyperlink r:id="rId9" w:history="1">
        <w:r w:rsidR="00822EA8">
          <w:rPr>
            <w:rFonts w:ascii="ArialMT" w:eastAsiaTheme="minorHAnsi" w:hAnsi="ArialMT" w:cs="ArialMT"/>
            <w:sz w:val="20"/>
            <w:szCs w:val="20"/>
            <w:lang w:eastAsia="en-US"/>
          </w:rPr>
          <w:t>xxx</w:t>
        </w:r>
      </w:hyperlink>
      <w:r w:rsidRPr="00F11866">
        <w:rPr>
          <w:rFonts w:ascii="Calibri" w:eastAsiaTheme="minorHAnsi" w:hAnsi="Calibri" w:cs="Calibri"/>
          <w:lang w:eastAsia="en-US"/>
        </w:rPr>
        <w:t xml:space="preserve"> </w:t>
      </w:r>
      <w:r w:rsidRPr="00F11866">
        <w:rPr>
          <w:rFonts w:ascii="Arial" w:eastAsiaTheme="minorHAnsi" w:hAnsi="Arial" w:cs="Arial"/>
          <w:sz w:val="20"/>
          <w:szCs w:val="20"/>
          <w:lang w:eastAsia="en-US"/>
        </w:rPr>
        <w:t>takto:</w:t>
      </w:r>
    </w:p>
    <w:p w14:paraId="2537445B" w14:textId="77777777" w:rsidR="00C215E4" w:rsidRPr="00F11866" w:rsidRDefault="00C215E4" w:rsidP="00C215E4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0B39D1A" w14:textId="77777777" w:rsidR="00C215E4" w:rsidRPr="00F11866" w:rsidRDefault="00C215E4" w:rsidP="00C215E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ze smlouvy </w:t>
      </w:r>
      <w:r w:rsidRPr="00F1186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169XXXXXXX</w:t>
      </w:r>
    </w:p>
    <w:p w14:paraId="759EBA27" w14:textId="77777777" w:rsidR="00C215E4" w:rsidRPr="00F11866" w:rsidRDefault="00C215E4" w:rsidP="00C215E4">
      <w:pPr>
        <w:autoSpaceDE w:val="0"/>
        <w:autoSpaceDN w:val="0"/>
        <w:adjustRightInd w:val="0"/>
        <w:rPr>
          <w:rFonts w:ascii="Arial-BoldItalicMT" w:eastAsiaTheme="minorHAnsi" w:hAnsi="Arial-BoldItalicMT" w:cs="Arial-BoldItalicMT"/>
          <w:b/>
          <w:bCs/>
          <w:i/>
          <w:iCs/>
          <w:sz w:val="20"/>
          <w:szCs w:val="20"/>
          <w:lang w:eastAsia="en-US"/>
        </w:rPr>
      </w:pPr>
      <w:r w:rsidRPr="00F11866">
        <w:rPr>
          <w:rFonts w:ascii="Arial-BoldItalicMT" w:eastAsiaTheme="minorHAnsi" w:hAnsi="Arial-BoldItalicMT" w:cs="Arial-BoldItalicMT"/>
          <w:b/>
          <w:bCs/>
          <w:i/>
          <w:iCs/>
          <w:sz w:val="20"/>
          <w:szCs w:val="20"/>
          <w:lang w:eastAsia="en-US"/>
        </w:rPr>
        <w:t>„PoštaMAJ_169XXXXXXX_RR</w:t>
      </w:r>
      <w:r w:rsidRPr="00F11866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RR-MM-</w:t>
      </w:r>
      <w:r w:rsidRPr="00F11866">
        <w:rPr>
          <w:rFonts w:ascii="Arial-BoldItalicMT" w:eastAsiaTheme="minorHAnsi" w:hAnsi="Arial-BoldItalicMT" w:cs="Arial-BoldItalicMT"/>
          <w:b/>
          <w:bCs/>
          <w:i/>
          <w:iCs/>
          <w:sz w:val="20"/>
          <w:szCs w:val="20"/>
          <w:lang w:eastAsia="en-US"/>
        </w:rPr>
        <w:t>DD.xls“</w:t>
      </w:r>
    </w:p>
    <w:p w14:paraId="65586490" w14:textId="77777777" w:rsidR="00C215E4" w:rsidRPr="00F11866" w:rsidRDefault="00C215E4" w:rsidP="00C215E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ve struktuře:</w:t>
      </w:r>
    </w:p>
    <w:p w14:paraId="0B16CA3F" w14:textId="54462702" w:rsidR="00C215E4" w:rsidRPr="00F11866" w:rsidRDefault="00C215E4" w:rsidP="00C215E4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</w:pPr>
      <w:r w:rsidRPr="00F1186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PS </w:t>
      </w:r>
      <w:r w:rsidRPr="00F11866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Případ </w:t>
      </w:r>
      <w:r w:rsidRPr="00F1186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St. Vznik </w:t>
      </w:r>
      <w:r w:rsidRPr="00F11866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Hlášeno </w:t>
      </w:r>
      <w:r w:rsidRPr="00F1186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Vyplaceno </w:t>
      </w:r>
      <w:r w:rsidRPr="00F11866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Učet Popis ŠU</w:t>
      </w:r>
    </w:p>
    <w:p w14:paraId="22534A4D" w14:textId="77777777" w:rsidR="00C215E4" w:rsidRPr="00F11866" w:rsidRDefault="00C215E4" w:rsidP="00C215E4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</w:pPr>
    </w:p>
    <w:p w14:paraId="045995E0" w14:textId="77777777" w:rsidR="00C215E4" w:rsidRPr="00F11866" w:rsidRDefault="00C215E4" w:rsidP="00C215E4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F11866">
        <w:rPr>
          <w:rFonts w:ascii="Arial" w:eastAsiaTheme="minorHAnsi" w:hAnsi="Arial" w:cs="Arial"/>
          <w:sz w:val="20"/>
          <w:szCs w:val="20"/>
          <w:lang w:eastAsia="en-US"/>
        </w:rPr>
        <w:t>Legenda :</w:t>
      </w:r>
    </w:p>
    <w:p w14:paraId="7BD774AF" w14:textId="77777777" w:rsidR="00C215E4" w:rsidRPr="00F11866" w:rsidRDefault="00C215E4" w:rsidP="00C215E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PS = číslo pojistné smlouvy</w:t>
      </w:r>
    </w:p>
    <w:p w14:paraId="13A45443" w14:textId="77777777" w:rsidR="00C215E4" w:rsidRPr="00F11866" w:rsidRDefault="00C215E4" w:rsidP="00C215E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Případ = číslo pojistné události pod kterým bylo registrováno</w:t>
      </w:r>
    </w:p>
    <w:p w14:paraId="22415D64" w14:textId="77777777" w:rsidR="00C215E4" w:rsidRPr="00F11866" w:rsidRDefault="00C215E4" w:rsidP="00C215E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St.= stav vyřízení PU: OT – Otevřená, UZ – Uzavřená, OO – Opětovně otevřená</w:t>
      </w:r>
    </w:p>
    <w:p w14:paraId="33F88554" w14:textId="77777777" w:rsidR="00C215E4" w:rsidRPr="00F11866" w:rsidRDefault="00C215E4" w:rsidP="00C215E4">
      <w:pPr>
        <w:autoSpaceDE w:val="0"/>
        <w:autoSpaceDN w:val="0"/>
        <w:adjustRightInd w:val="0"/>
        <w:rPr>
          <w:rFonts w:ascii="Wingdings-Regular" w:eastAsia="Wingdings-Regular" w:hAnsi="Arial" w:cs="Wingdings-Regular"/>
          <w:sz w:val="20"/>
          <w:szCs w:val="20"/>
          <w:lang w:eastAsia="en-US"/>
        </w:rPr>
      </w:pPr>
    </w:p>
    <w:p w14:paraId="40A89102" w14:textId="4C444C12" w:rsidR="00C215E4" w:rsidRPr="00F11866" w:rsidRDefault="00C215E4" w:rsidP="00C215E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0"/>
          <w:szCs w:val="20"/>
          <w:u w:val="single"/>
          <w:lang w:eastAsia="en-US"/>
        </w:rPr>
      </w:pPr>
      <w:r w:rsidRPr="00F11866">
        <w:rPr>
          <w:rFonts w:ascii="Arial-BoldMT" w:eastAsiaTheme="minorHAnsi" w:hAnsi="Arial-BoldMT" w:cs="Arial-BoldMT"/>
          <w:b/>
          <w:bCs/>
          <w:sz w:val="20"/>
          <w:szCs w:val="20"/>
          <w:u w:val="single"/>
          <w:lang w:eastAsia="en-US"/>
        </w:rPr>
        <w:t>Změny kontaktních údajů</w:t>
      </w:r>
    </w:p>
    <w:p w14:paraId="73273E67" w14:textId="77777777" w:rsidR="00C215E4" w:rsidRPr="00F11866" w:rsidRDefault="00C215E4" w:rsidP="00C215E4">
      <w:pPr>
        <w:pStyle w:val="Odstavecseseznamem"/>
        <w:autoSpaceDE w:val="0"/>
        <w:autoSpaceDN w:val="0"/>
        <w:adjustRightInd w:val="0"/>
        <w:ind w:left="765"/>
        <w:rPr>
          <w:rFonts w:ascii="Arial-BoldMT" w:eastAsiaTheme="minorHAnsi" w:hAnsi="Arial-BoldMT" w:cs="Arial-BoldMT"/>
          <w:b/>
          <w:bCs/>
          <w:sz w:val="20"/>
          <w:szCs w:val="20"/>
          <w:u w:val="single"/>
          <w:lang w:eastAsia="en-US"/>
        </w:rPr>
      </w:pPr>
    </w:p>
    <w:p w14:paraId="1DCFBEBD" w14:textId="77777777" w:rsidR="00C215E4" w:rsidRPr="00F11866" w:rsidRDefault="00C215E4" w:rsidP="00C215E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V 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případě změny některého z kontaktních údajů uvedených v tomto Ujednání k postupu při hlášení a</w:t>
      </w:r>
    </w:p>
    <w:p w14:paraId="5E67098A" w14:textId="60A2FE9F" w:rsidR="00C215E4" w:rsidRPr="00F11866" w:rsidRDefault="00C215E4" w:rsidP="00C215E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likvidaci ŠU, kterými se rozumí zejména správce, e</w:t>
      </w:r>
      <w:r w:rsidRPr="00F11866"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 xml:space="preserve">mailové adresy, kontaktní osoby, telefonní čísla, apod., se Pojistník </w:t>
      </w: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Česká pošta, s.p. a vedoucí pojistitel – Generali Česká pojišťovna a.s. zavazují, že o této změně kontaktního údaje, vzniklého na její straně, bude druhou stranu informovat písemným oznámením, a to nejpozději do 5 pracovních dnů ode dne, kdy k této změně dojde. Toto oznámení bude považováno za řádně dané či učiněné druhé straně, bude</w:t>
      </w:r>
      <w:r w:rsidRPr="00F11866"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li doručeno osobně, doporučenou poštou, e</w:t>
      </w:r>
      <w:r w:rsidRPr="00F11866"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mailem či kurýrní službou na adresu sídla dané strany, nedohodnou</w:t>
      </w:r>
      <w:r w:rsidRPr="00F11866"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Pr="00F11866">
        <w:rPr>
          <w:rFonts w:ascii="ArialMT" w:eastAsiaTheme="minorHAnsi" w:hAnsi="ArialMT" w:cs="ArialMT"/>
          <w:sz w:val="20"/>
          <w:szCs w:val="20"/>
          <w:lang w:eastAsia="en-US"/>
        </w:rPr>
        <w:t>li se smluvní strany jinak.</w:t>
      </w:r>
    </w:p>
    <w:p w14:paraId="7427C180" w14:textId="189F78E9" w:rsidR="00425ECB" w:rsidRPr="00F11866" w:rsidRDefault="00425ECB" w:rsidP="00C215E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600DB66E" w14:textId="77777777" w:rsidR="00425ECB" w:rsidRPr="00F11866" w:rsidRDefault="00425ECB" w:rsidP="00425EC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0"/>
          <w:szCs w:val="20"/>
          <w:u w:val="single"/>
          <w:lang w:eastAsia="en-US"/>
        </w:rPr>
      </w:pPr>
      <w:r w:rsidRPr="00F11866">
        <w:rPr>
          <w:rFonts w:ascii="Arial-BoldMT" w:eastAsiaTheme="minorHAnsi" w:hAnsi="Arial-BoldMT" w:cs="Arial-BoldMT"/>
          <w:b/>
          <w:bCs/>
          <w:sz w:val="20"/>
          <w:szCs w:val="20"/>
          <w:u w:val="single"/>
          <w:lang w:eastAsia="en-US"/>
        </w:rPr>
        <w:t xml:space="preserve">Plnění pojišťovny  </w:t>
      </w:r>
    </w:p>
    <w:p w14:paraId="4815EB2B" w14:textId="300656CC" w:rsidR="000821F0" w:rsidRPr="00F11866" w:rsidRDefault="000821F0" w:rsidP="000821F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Pro stanovení výše plnění z pojištění majetku vč. pojištění kolejových vozidel je rozhodné, je-li pojištěný v době pojistné události plátcem daně z přidané hodnoty (dále jen „DPH“). </w:t>
      </w:r>
    </w:p>
    <w:p w14:paraId="52181EE1" w14:textId="77777777" w:rsidR="000821F0" w:rsidRPr="00F11866" w:rsidRDefault="000821F0" w:rsidP="000821F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CFCAB42" w14:textId="03252D3B" w:rsidR="000821F0" w:rsidRPr="00F11866" w:rsidRDefault="000821F0" w:rsidP="000821F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V případě, že pojištěný není plátcem DPH, pojišťovna přizná náklad na opravu poškozené věci nebo náklad na znovupořízení zničené věci podle dokladů nebo rozpočtu včetně příslušných složek DPH. Stejným způsobem se bude postupovat i v případě, že pojištěný je plátce DPH a zároveň nemá právo provést odpočet DPH podle zákona č. 235/2004 Sb., v aktuálním znění o dani z přidané hodnoty (dále jen zákon o DPH).   </w:t>
      </w:r>
    </w:p>
    <w:p w14:paraId="4444E6D5" w14:textId="77777777" w:rsidR="000821F0" w:rsidRPr="00F11866" w:rsidRDefault="000821F0" w:rsidP="000821F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442F5D8" w14:textId="41C5B330" w:rsidR="000821F0" w:rsidRPr="00F11866" w:rsidRDefault="000821F0" w:rsidP="000821F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V případě, že pojištěný je plátcem DPH, pojišťovna nehradí příslušné částky DPH. Není přitom rozhodné, zda výše plnění byla stanovena podle pojištěným předložených dokladů o opravě poškozené věci nebo znovupořízení věcí, nebo byla-li stanovena rozpočtem nákladů na opravu podle znaleckého posudku, odhadem ceny věcí či jinými standardními likvidačními postupy. Tento postup se uplatní také v případě, má-li pojištěný nárok na provedení odpočtu DPH v plné výši podle zákona o DPH. </w:t>
      </w:r>
    </w:p>
    <w:p w14:paraId="64C30615" w14:textId="77777777" w:rsidR="00425ECB" w:rsidRPr="00F11866" w:rsidRDefault="00425ECB" w:rsidP="00425ECB">
      <w:pPr>
        <w:spacing w:after="129"/>
        <w:ind w:left="-5" w:right="25"/>
        <w:jc w:val="both"/>
      </w:pPr>
    </w:p>
    <w:p w14:paraId="28CD32DD" w14:textId="08403FA1" w:rsidR="00425ECB" w:rsidRPr="00F11866" w:rsidRDefault="00425ECB" w:rsidP="00425EC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Standardní režim uplatňování DPH je následující: </w:t>
      </w:r>
    </w:p>
    <w:p w14:paraId="23D5B65E" w14:textId="77777777" w:rsidR="000821F0" w:rsidRPr="00F11866" w:rsidRDefault="000821F0" w:rsidP="00425EC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AE40B99" w14:textId="6520A542" w:rsidR="00425ECB" w:rsidRPr="00F11866" w:rsidRDefault="00425ECB" w:rsidP="00425EC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11866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Pojišťovna hradí alikvotní část odpočtu DPH, která vstupuje České poště, s.p. do nákladů (§ 76 zákona o DPH). Pro výpočet alikvotní části se použije koeficient, který je stanoven ve výši ročního vypořádacího koeficientu vypočteného z údajů předchozího kalendářního roku. Výše koeficientu pro uplatnění DPH ze strany České pošty, s.p. pro rok 2023 je </w:t>
      </w:r>
      <w:r w:rsidR="00822EA8">
        <w:rPr>
          <w:rFonts w:ascii="Arial" w:eastAsiaTheme="minorHAnsi" w:hAnsi="Arial" w:cs="Arial"/>
          <w:sz w:val="20"/>
          <w:szCs w:val="20"/>
          <w:lang w:eastAsia="en-US"/>
        </w:rPr>
        <w:t>45%.</w:t>
      </w: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 Pojišťovna tak v případě kráceného nároku na odpočet DPH ze strany České pošty, s.p. v roce 2022 uhradí alikvotní část DPH v poměru </w:t>
      </w:r>
      <w:r w:rsidR="00822EA8">
        <w:rPr>
          <w:rFonts w:ascii="Arial" w:eastAsiaTheme="minorHAnsi" w:hAnsi="Arial" w:cs="Arial"/>
          <w:sz w:val="20"/>
          <w:szCs w:val="20"/>
          <w:lang w:eastAsia="en-US"/>
        </w:rPr>
        <w:t>55%.</w:t>
      </w:r>
    </w:p>
    <w:p w14:paraId="63251CF4" w14:textId="303C0DA4" w:rsidR="00425ECB" w:rsidRPr="00F11866" w:rsidRDefault="00425ECB" w:rsidP="00425EC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21D4A039" w14:textId="1FB98D77" w:rsidR="00425ECB" w:rsidRPr="00F11866" w:rsidRDefault="00425ECB" w:rsidP="00425EC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1186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V dalších letech trvání pojištění</w:t>
      </w: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 sdělí Česká pošta, s.p. písemně výši koeficientu vedoucímu pojistiteli </w:t>
      </w:r>
      <w:r w:rsidRPr="00F1186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vždy nejpozději do 5. února každého roku</w:t>
      </w: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.  </w:t>
      </w:r>
    </w:p>
    <w:p w14:paraId="6CF8109B" w14:textId="77777777" w:rsidR="00425ECB" w:rsidRPr="00F11866" w:rsidRDefault="00425ECB" w:rsidP="00425EC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5136D8A" w14:textId="77777777" w:rsidR="00425ECB" w:rsidRPr="00F11866" w:rsidRDefault="00425ECB" w:rsidP="00425EC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1186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Uplatněním koeficientu a uhrazením alikvotní části DPH se považují nároky obou stran za vyřízené</w:t>
      </w:r>
      <w:r w:rsidRPr="00F11866">
        <w:rPr>
          <w:rFonts w:ascii="Arial" w:eastAsiaTheme="minorHAnsi" w:hAnsi="Arial" w:cs="Arial"/>
          <w:sz w:val="20"/>
          <w:szCs w:val="20"/>
          <w:lang w:eastAsia="en-US"/>
        </w:rPr>
        <w:t xml:space="preserve">. Česká pošta, s.p. je povinna sdělit pojišťovně způsob uplatňování DPH v případě, že bude odlišný od standardního režimu. </w:t>
      </w:r>
    </w:p>
    <w:p w14:paraId="38EE44EB" w14:textId="77777777" w:rsidR="00425ECB" w:rsidRPr="00F11866" w:rsidRDefault="00425ECB" w:rsidP="00C215E4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425ECB" w:rsidRPr="00F11866" w:rsidSect="003506E1"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AE04" w14:textId="77777777" w:rsidR="0004028D" w:rsidRDefault="0004028D" w:rsidP="00667043">
      <w:r>
        <w:separator/>
      </w:r>
    </w:p>
  </w:endnote>
  <w:endnote w:type="continuationSeparator" w:id="0">
    <w:p w14:paraId="0559A7C4" w14:textId="77777777" w:rsidR="0004028D" w:rsidRDefault="0004028D" w:rsidP="0066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2479" w14:textId="7B0B3D7D" w:rsidR="00C01C3C" w:rsidRDefault="00C01C3C" w:rsidP="00C01C3C">
    <w:pPr>
      <w:spacing w:line="259" w:lineRule="auto"/>
      <w:ind w:left="-384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6B9694" wp14:editId="2D2C1B3C">
              <wp:simplePos x="0" y="0"/>
              <wp:positionH relativeFrom="page">
                <wp:posOffset>726685</wp:posOffset>
              </wp:positionH>
              <wp:positionV relativeFrom="page">
                <wp:posOffset>9531727</wp:posOffset>
              </wp:positionV>
              <wp:extent cx="6400800" cy="12192"/>
              <wp:effectExtent l="0" t="0" r="0" b="0"/>
              <wp:wrapSquare wrapText="bothSides"/>
              <wp:docPr id="6242" name="Group 6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2192"/>
                        <a:chOff x="0" y="0"/>
                        <a:chExt cx="6400800" cy="12192"/>
                      </a:xfrm>
                    </wpg:grpSpPr>
                    <wps:wsp>
                      <wps:cNvPr id="6466" name="Shape 6466"/>
                      <wps:cNvSpPr/>
                      <wps:spPr>
                        <a:xfrm>
                          <a:off x="0" y="0"/>
                          <a:ext cx="640080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 h="12192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  <a:lnTo>
                                <a:pt x="6400800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09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401F2D2D" id="Group 6242" o:spid="_x0000_s1026" style="position:absolute;margin-left:57.2pt;margin-top:750.55pt;width:7in;height:.95pt;z-index:251661312;mso-position-horizontal-relative:page;mso-position-vertical-relative:page" coordsize="6400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">
              <v:shape id="Shape 6466" o:spid="_x0000_s1027" style="position:absolute;width:64008;height:121;visibility:visible;mso-wrap-style:square;v-text-anchor:top" coordsize="64008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vOMUA&#10;AADdAAAADwAAAGRycy9kb3ducmV2LnhtbESPS2vCQBSF9wX/w3CF7urEWqJERxGpbXfFB4K7a+aa&#10;CWbuhMyYpP31nUKhy8N5fJzFqreVaKnxpWMF41ECgjh3uuRCwfGwfZqB8AFZY+WYFHyRh9Vy8LDA&#10;TLuOd9TuQyHiCPsMFZgQ6kxKnxuy6EeuJo7e1TUWQ5RNIXWDXRy3lXxOklRaLDkSDNa0MZTf9ncb&#10;Ie+z+3f/Zi5Tn7jd5NXZ86c5KfU47NdzEIH68B/+a39oBelLmsLvm/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G84xQAAAN0AAAAPAAAAAAAAAAAAAAAAAJgCAABkcnMv&#10;ZG93bnJldi54bWxQSwUGAAAAAAQABAD1AAAAigMAAAAA&#10;" path="m,l6400800,r,12192l,12192,,e" fillcolor="#c4090b" stroked="f" strokeweight="0">
                <v:stroke miterlimit="83231f" joinstyle="miter"/>
                <v:path arrowok="t" textboxrect="0,0,6400800,12192"/>
              </v:shape>
              <w10:wrap type="square" anchorx="page" anchory="page"/>
            </v:group>
          </w:pict>
        </mc:Fallback>
      </mc:AlternateContent>
    </w:r>
  </w:p>
  <w:p w14:paraId="75B92273" w14:textId="67F9F3CF" w:rsidR="00C01C3C" w:rsidRDefault="00C01C3C" w:rsidP="00C01C3C">
    <w:r>
      <w:rPr>
        <w:rFonts w:ascii="Calibri" w:eastAsia="Calibri" w:hAnsi="Calibri" w:cs="Calibri"/>
        <w:sz w:val="12"/>
      </w:rPr>
      <w:br/>
      <w:t xml:space="preserve"> </w:t>
    </w:r>
    <w:r>
      <w:rPr>
        <w:sz w:val="12"/>
      </w:rPr>
      <w:t>Generali Česká pojišťovna a.s., Spálená 75/16, 110 00 Praha 1 – Nové Město, IČO: 45272956, DIČ: CZ699001273, zapsaná v obchodním rejstříku vedeném Městským soudem v Praze, spisová značka B 1464, člen skupiny Generali, zapsané v italském rejstříku pojišťovacích skupin, vedeném IVASS. Klientský servis: + 420 241 114 114, P. O. BOX 305, 659 05 Brno, www.generaliceska.cz</w:t>
    </w:r>
  </w:p>
  <w:p w14:paraId="60B0B02F" w14:textId="38D38C91" w:rsidR="00667043" w:rsidRDefault="00336C7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C47B9B" wp14:editId="1079071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8a14428a2ee3c261102a46e" descr="{&quot;HashCode&quot;:-193379662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539056" w14:textId="1695DB91" w:rsidR="00336C78" w:rsidRPr="00336C78" w:rsidRDefault="00336C78" w:rsidP="00336C7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36C7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47B9B" id="_x0000_t202" coordsize="21600,21600" o:spt="202" path="m,l,21600r21600,l21600,xe">
              <v:stroke joinstyle="miter"/>
              <v:path gradientshapeok="t" o:connecttype="rect"/>
            </v:shapetype>
            <v:shape id="MSIPCMc8a14428a2ee3c261102a46e" o:spid="_x0000_s1026" type="#_x0000_t202" alt="{&quot;HashCode&quot;:-193379662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" o:allowincell="f" filled="f" stroked="f" strokeweight=".5pt">
              <v:textbox inset="20pt,0,,0">
                <w:txbxContent>
                  <w:p w14:paraId="14539056" w14:textId="1695DB91" w:rsidR="00336C78" w:rsidRPr="00336C78" w:rsidRDefault="00336C78" w:rsidP="00336C7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36C78">
                      <w:rPr>
                        <w:rFonts w:ascii="Calibri" w:hAnsi="Calibri" w:cs="Calibri"/>
                        <w:color w:val="000000"/>
                        <w:sz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455E" w14:textId="77777777" w:rsidR="0004028D" w:rsidRDefault="0004028D" w:rsidP="00667043">
      <w:r>
        <w:separator/>
      </w:r>
    </w:p>
  </w:footnote>
  <w:footnote w:type="continuationSeparator" w:id="0">
    <w:p w14:paraId="4F257204" w14:textId="77777777" w:rsidR="0004028D" w:rsidRDefault="0004028D" w:rsidP="0066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5DF"/>
    <w:multiLevelType w:val="hybridMultilevel"/>
    <w:tmpl w:val="D0E8F4B4"/>
    <w:lvl w:ilvl="0" w:tplc="0876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974"/>
    <w:multiLevelType w:val="hybridMultilevel"/>
    <w:tmpl w:val="5A468DC6"/>
    <w:lvl w:ilvl="0" w:tplc="0876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28A3"/>
    <w:multiLevelType w:val="multilevel"/>
    <w:tmpl w:val="77CA100C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870" w:hanging="51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5358CD"/>
    <w:multiLevelType w:val="hybridMultilevel"/>
    <w:tmpl w:val="1756AC14"/>
    <w:lvl w:ilvl="0" w:tplc="0876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7670"/>
    <w:multiLevelType w:val="hybridMultilevel"/>
    <w:tmpl w:val="5EDED4A8"/>
    <w:lvl w:ilvl="0" w:tplc="8DE062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D442E"/>
    <w:multiLevelType w:val="hybridMultilevel"/>
    <w:tmpl w:val="9C2009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B3E16"/>
    <w:multiLevelType w:val="hybridMultilevel"/>
    <w:tmpl w:val="04F8ED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73BFC"/>
    <w:multiLevelType w:val="hybridMultilevel"/>
    <w:tmpl w:val="2C9CCDE6"/>
    <w:lvl w:ilvl="0" w:tplc="BE2089E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3B5A3C"/>
    <w:multiLevelType w:val="hybridMultilevel"/>
    <w:tmpl w:val="F1561A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A74E49"/>
    <w:multiLevelType w:val="hybridMultilevel"/>
    <w:tmpl w:val="1C763614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3304A09"/>
    <w:multiLevelType w:val="hybridMultilevel"/>
    <w:tmpl w:val="34F4FBB0"/>
    <w:lvl w:ilvl="0" w:tplc="0876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C526F"/>
    <w:multiLevelType w:val="hybridMultilevel"/>
    <w:tmpl w:val="E348F850"/>
    <w:lvl w:ilvl="0" w:tplc="0876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A3"/>
    <w:rsid w:val="0004028D"/>
    <w:rsid w:val="00040EA5"/>
    <w:rsid w:val="00044EFE"/>
    <w:rsid w:val="0007523A"/>
    <w:rsid w:val="000821F0"/>
    <w:rsid w:val="000846E0"/>
    <w:rsid w:val="000C390E"/>
    <w:rsid w:val="000D43D0"/>
    <w:rsid w:val="00121AE3"/>
    <w:rsid w:val="0013210D"/>
    <w:rsid w:val="00151BDF"/>
    <w:rsid w:val="00153B9D"/>
    <w:rsid w:val="00166B1D"/>
    <w:rsid w:val="001729D1"/>
    <w:rsid w:val="00176B5A"/>
    <w:rsid w:val="00185B53"/>
    <w:rsid w:val="001862CF"/>
    <w:rsid w:val="001D3E69"/>
    <w:rsid w:val="001D66B1"/>
    <w:rsid w:val="0021731A"/>
    <w:rsid w:val="00242297"/>
    <w:rsid w:val="00277322"/>
    <w:rsid w:val="002A1C17"/>
    <w:rsid w:val="002A456D"/>
    <w:rsid w:val="002B58A0"/>
    <w:rsid w:val="002C0648"/>
    <w:rsid w:val="002D7BA3"/>
    <w:rsid w:val="00310130"/>
    <w:rsid w:val="00325D6D"/>
    <w:rsid w:val="00336C78"/>
    <w:rsid w:val="003506E1"/>
    <w:rsid w:val="00356E61"/>
    <w:rsid w:val="00384B8B"/>
    <w:rsid w:val="003B147C"/>
    <w:rsid w:val="003C19A5"/>
    <w:rsid w:val="00413FB5"/>
    <w:rsid w:val="00425ECB"/>
    <w:rsid w:val="00450C9E"/>
    <w:rsid w:val="00451C86"/>
    <w:rsid w:val="004561D8"/>
    <w:rsid w:val="004B4DC1"/>
    <w:rsid w:val="004D7076"/>
    <w:rsid w:val="004E099F"/>
    <w:rsid w:val="005258AF"/>
    <w:rsid w:val="005A79A9"/>
    <w:rsid w:val="005B6D82"/>
    <w:rsid w:val="005C60DD"/>
    <w:rsid w:val="005E532C"/>
    <w:rsid w:val="00605A8A"/>
    <w:rsid w:val="00631F43"/>
    <w:rsid w:val="00633BFF"/>
    <w:rsid w:val="0063766B"/>
    <w:rsid w:val="00653710"/>
    <w:rsid w:val="00667043"/>
    <w:rsid w:val="0068145C"/>
    <w:rsid w:val="006A5364"/>
    <w:rsid w:val="006B25EB"/>
    <w:rsid w:val="00722794"/>
    <w:rsid w:val="00727A6B"/>
    <w:rsid w:val="0078369A"/>
    <w:rsid w:val="00792415"/>
    <w:rsid w:val="007A39D9"/>
    <w:rsid w:val="007B2B13"/>
    <w:rsid w:val="007D612C"/>
    <w:rsid w:val="00804587"/>
    <w:rsid w:val="00822EA8"/>
    <w:rsid w:val="008842B4"/>
    <w:rsid w:val="008A2292"/>
    <w:rsid w:val="008B15C4"/>
    <w:rsid w:val="008E6F0A"/>
    <w:rsid w:val="008F2DA0"/>
    <w:rsid w:val="009669A6"/>
    <w:rsid w:val="009763ED"/>
    <w:rsid w:val="009776AD"/>
    <w:rsid w:val="009E3B3E"/>
    <w:rsid w:val="00A331ED"/>
    <w:rsid w:val="00A34590"/>
    <w:rsid w:val="00A34C61"/>
    <w:rsid w:val="00A75EDD"/>
    <w:rsid w:val="00A82C4E"/>
    <w:rsid w:val="00AB2472"/>
    <w:rsid w:val="00AD07D1"/>
    <w:rsid w:val="00B415D6"/>
    <w:rsid w:val="00B46ED8"/>
    <w:rsid w:val="00B62CFA"/>
    <w:rsid w:val="00B65C5D"/>
    <w:rsid w:val="00B74686"/>
    <w:rsid w:val="00BE3CC1"/>
    <w:rsid w:val="00BF4F08"/>
    <w:rsid w:val="00BF56FD"/>
    <w:rsid w:val="00C01C3C"/>
    <w:rsid w:val="00C215E4"/>
    <w:rsid w:val="00C21C3B"/>
    <w:rsid w:val="00C24F37"/>
    <w:rsid w:val="00C60EA0"/>
    <w:rsid w:val="00CA252B"/>
    <w:rsid w:val="00CA563B"/>
    <w:rsid w:val="00CA7A58"/>
    <w:rsid w:val="00CF3F27"/>
    <w:rsid w:val="00D00CEE"/>
    <w:rsid w:val="00D20C5E"/>
    <w:rsid w:val="00D61885"/>
    <w:rsid w:val="00D73E4E"/>
    <w:rsid w:val="00DC517B"/>
    <w:rsid w:val="00DD0B65"/>
    <w:rsid w:val="00DF5DFC"/>
    <w:rsid w:val="00E1593A"/>
    <w:rsid w:val="00EB51AB"/>
    <w:rsid w:val="00F06D9A"/>
    <w:rsid w:val="00F101B4"/>
    <w:rsid w:val="00F11866"/>
    <w:rsid w:val="00F207B1"/>
    <w:rsid w:val="00F20CE5"/>
    <w:rsid w:val="00F43CA4"/>
    <w:rsid w:val="00F752A0"/>
    <w:rsid w:val="00F96C65"/>
    <w:rsid w:val="00FA3981"/>
    <w:rsid w:val="00FC32E0"/>
    <w:rsid w:val="00FC4787"/>
    <w:rsid w:val="00F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FF389"/>
  <w15:chartTrackingRefBased/>
  <w15:docId w15:val="{9394341A-C58D-421C-B1E2-43FFE28A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4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56D"/>
    <w:pPr>
      <w:ind w:left="720"/>
      <w:contextualSpacing/>
    </w:pPr>
  </w:style>
  <w:style w:type="paragraph" w:styleId="Revize">
    <w:name w:val="Revision"/>
    <w:hidden/>
    <w:uiPriority w:val="99"/>
    <w:semiHidden/>
    <w:rsid w:val="00F20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15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15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670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70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7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70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9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9A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D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D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D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D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D6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liceska.cz/kli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kody.ceskaposta@cz-ceb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E4D6-D6B2-477B-84B1-F137B376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 B-HP16</dc:creator>
  <cp:keywords/>
  <dc:description/>
  <cp:lastModifiedBy>Camprová Veronika Mgr.</cp:lastModifiedBy>
  <cp:revision>8</cp:revision>
  <cp:lastPrinted>2023-02-28T13:43:00Z</cp:lastPrinted>
  <dcterms:created xsi:type="dcterms:W3CDTF">2023-03-23T16:00:00Z</dcterms:created>
  <dcterms:modified xsi:type="dcterms:W3CDTF">2023-03-30T14:29:00Z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a71049-ab6d-463d-b568-0751aa1e8107_Enabled">
    <vt:lpwstr>true</vt:lpwstr>
  </property>
  <property fmtid="{D5CDD505-2E9C-101B-9397-08002B2CF9AE}" pid="3" name="MSIP_Label_17a71049-ab6d-463d-b568-0751aa1e8107_SetDate">
    <vt:lpwstr>2023-03-23T16:05:20Z</vt:lpwstr>
  </property>
  <property fmtid="{D5CDD505-2E9C-101B-9397-08002B2CF9AE}" pid="4" name="MSIP_Label_17a71049-ab6d-463d-b568-0751aa1e8107_Method">
    <vt:lpwstr>Standard</vt:lpwstr>
  </property>
  <property fmtid="{D5CDD505-2E9C-101B-9397-08002B2CF9AE}" pid="5" name="MSIP_Label_17a71049-ab6d-463d-b568-0751aa1e8107_Name">
    <vt:lpwstr>Důvěrné-CZE-Viditelna</vt:lpwstr>
  </property>
  <property fmtid="{D5CDD505-2E9C-101B-9397-08002B2CF9AE}" pid="6" name="MSIP_Label_17a71049-ab6d-463d-b568-0751aa1e8107_SiteId">
    <vt:lpwstr>cbeb3ecc-6f45-4183-b5a8-088140deae5d</vt:lpwstr>
  </property>
  <property fmtid="{D5CDD505-2E9C-101B-9397-08002B2CF9AE}" pid="7" name="MSIP_Label_17a71049-ab6d-463d-b568-0751aa1e8107_ActionId">
    <vt:lpwstr>8b984ef4-cf17-4b78-8894-004354140669</vt:lpwstr>
  </property>
  <property fmtid="{D5CDD505-2E9C-101B-9397-08002B2CF9AE}" pid="8" name="MSIP_Label_17a71049-ab6d-463d-b568-0751aa1e8107_ContentBits">
    <vt:lpwstr>2</vt:lpwstr>
  </property>
</Properties>
</file>