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41" w:h="264" w:wrap="none" w:hAnchor="page" w:x="9070" w:y="3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Style w:val="CharStyle3"/>
        </w:rPr>
        <w:t>2023002230</w:t>
      </w:r>
    </w:p>
    <w:p>
      <w:pPr>
        <w:widowControl w:val="0"/>
        <w:spacing w:after="648" w:line="1" w:lineRule="exact"/>
      </w:pPr>
      <w:r>
        <w:drawing>
          <wp:anchor distT="0" distB="194945" distL="0" distR="0" simplePos="0" relativeHeight="62914690" behindDoc="1" locked="0" layoutInCell="1" allowOverlap="1">
            <wp:simplePos x="0" y="0"/>
            <wp:positionH relativeFrom="page">
              <wp:posOffset>5603240</wp:posOffset>
            </wp:positionH>
            <wp:positionV relativeFrom="margin">
              <wp:posOffset>-231140</wp:posOffset>
            </wp:positionV>
            <wp:extent cx="1493520" cy="45085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93520" cy="4508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headerReference w:type="default" r:id="rId7"/>
          <w:headerReference w:type="first" r:id="rId8"/>
          <w:footnotePr>
            <w:pos w:val="pageBottom"/>
            <w:numFmt w:val="decimal"/>
            <w:numRestart w:val="continuous"/>
          </w:footnotePr>
          <w:pgSz w:w="11900" w:h="16840"/>
          <w:pgMar w:top="804" w:right="724" w:bottom="2318" w:left="1101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699135</wp:posOffset>
                </wp:positionH>
                <wp:positionV relativeFrom="paragraph">
                  <wp:posOffset>12700</wp:posOffset>
                </wp:positionV>
                <wp:extent cx="1054735" cy="75311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4735" cy="753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 xml:space="preserve">i n os. </w:t>
                            </w:r>
                            <w:r>
                              <w:rPr>
                                <w:rStyle w:val="CharStyle8"/>
                                <w:rFonts w:ascii="Times New Roman" w:eastAsia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mb</w:t>
                            </w:r>
                          </w:p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1"/>
                                <w:i/>
                                <w:iCs/>
                              </w:rPr>
                              <w:t>^30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9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rStyle w:val="CharStyle8"/>
                                <w:color w:val="615B88"/>
                              </w:rPr>
                              <w:t>&gt;/ /£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050000000000004pt;margin-top:1.pt;width:83.049999999999997pt;height:59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 xml:space="preserve">i n os. </w:t>
                      </w:r>
                      <w:r>
                        <w:rPr>
                          <w:rStyle w:val="CharStyle8"/>
                          <w:rFonts w:ascii="Times New Roman" w:eastAsia="Times New Roman" w:hAnsi="Times New Roman" w:cs="Times New Roman"/>
                          <w:smallCaps/>
                          <w:sz w:val="32"/>
                          <w:szCs w:val="32"/>
                        </w:rPr>
                        <w:t>mb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  <w:i/>
                          <w:iCs/>
                        </w:rPr>
                        <w:t>^30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9" w:lineRule="auto"/>
                        <w:ind w:left="0" w:right="0" w:firstLine="840"/>
                        <w:jc w:val="left"/>
                      </w:pPr>
                      <w:r>
                        <w:rPr>
                          <w:rStyle w:val="CharStyle8"/>
                          <w:color w:val="615B88"/>
                        </w:rPr>
                        <w:t>&gt;/ /£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9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bookmarkStart w:id="0" w:name="bookmark0"/>
      <w:r>
        <w:rPr>
          <w:rStyle w:val="CharStyle30"/>
          <w:b/>
          <w:bCs/>
          <w:u w:val="single"/>
        </w:rPr>
        <w:t>Smlouva</w:t>
      </w:r>
      <w:bookmarkEnd w:id="0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rStyle w:val="CharStyle28"/>
        </w:rPr>
        <w:t>o nájmu prostor sloužících podnikání, uzavřená mezi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/>
        <w:ind w:left="0" w:right="0" w:firstLine="0"/>
        <w:jc w:val="both"/>
      </w:pPr>
      <w:r>
        <w:rPr>
          <w:rStyle w:val="CharStyle28"/>
          <w:b/>
          <w:bCs/>
        </w:rPr>
        <w:t xml:space="preserve">Zdravotnickou záchrannou službou Jihomoravského kraje, příspěvkovou organizací, </w:t>
      </w:r>
      <w:r>
        <w:rPr>
          <w:rStyle w:val="CharStyle28"/>
        </w:rPr>
        <w:t>IČ 00346292, se sídlem v Brně, Kamenice 798/Id, zastoupenou svou ředitelkou paní MUDr. Hanou Albrechtovou jako pronajímatelem (dále jen „pronajímatel“), a</w:t>
      </w:r>
    </w:p>
    <w:p>
      <w:pPr>
        <w:pStyle w:val="Style2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9" w:val="left"/>
        </w:tabs>
        <w:bidi w:val="0"/>
        <w:spacing w:before="0" w:after="600" w:line="262" w:lineRule="auto"/>
        <w:ind w:left="0" w:right="0" w:firstLine="0"/>
        <w:jc w:val="both"/>
      </w:pPr>
      <w:r>
        <w:rPr>
          <w:rStyle w:val="CharStyle28"/>
          <w:b/>
          <w:bCs/>
        </w:rPr>
        <w:t xml:space="preserve">Společností Gastroenterologie VNM s.r.o., </w:t>
      </w:r>
      <w:r>
        <w:rPr>
          <w:rStyle w:val="CharStyle28"/>
        </w:rPr>
        <w:t>IČ 06669930, se sídlem v Mikulově, Svobody 220/2, zastoupenou svým jednatelem panem Ing. Josefem Halouzkou jako nájemcem (dále jen „nájemce“).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2" w:name="bookmark2"/>
      <w:bookmarkEnd w:id="2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28"/>
        </w:rPr>
        <w:t>Pronajímatel je oprávněn nakládat na základě svého práva hospodaření s domem ve vlastnictví Jihomoravského kraje ve Veselí nad Moravou, U Polikliniky 1289. Na třetím nadzemním podlaží této nemovitosti je umístěn mimo jiné soubor 6 místností ě. 3.11, 3.12, 3.13, 3.14, 3.19 a 3.20 o celkové o celkové výměře 61,14 m2, sloužících podnikání (dále jen „nebytové prostory“) a část místnosti 3.18 o výměře 7 m2, jako plocha společná.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4" w:name="bookmark4"/>
      <w:bookmarkEnd w:id="4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28"/>
        </w:rPr>
        <w:t>Pronajímatel se zavazuje, že nebytové prostory podle čl. 1 této smlouvy přenechá nájemci k jeho výhradnímu užívání pro jeho účely. Pronajímatel se současně zavazuje, že bude nájemci poskytovat služby s užíváním těchto prostor spojené, a to nepřetržitě po celou dobu nájmu podle této smlouvy, nedohodnou-li se obě strany v jednotlivém případě později jinak. Službami se pro účely této smlouvy rozumí dodávka elektrické energie, tepla, vody a sběr odpadních vod a osvětlení společných prostor.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bookmarkEnd w:id="6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28"/>
        </w:rPr>
        <w:t>Nájemce se zavazuje užívat najaté nebytové prostory podle čl. 1 této smlouvy výhradně k poskytování svých zdravotních služeb v oboru gastroenterologie, a k činnostem s tím spojeným.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bookmarkEnd w:id="8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28"/>
        </w:rPr>
        <w:t>Nájemce se zavazuje nepřenechávat najaté nebytové prostory podle čl. 1 této smlouvy bez předchozího písemného souhlasu pronajímatele k užívání jiným osobám.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54" w:lineRule="auto"/>
        <w:ind w:left="0" w:right="0" w:firstLine="0"/>
        <w:jc w:val="center"/>
      </w:pPr>
      <w:bookmarkStart w:id="10" w:name="bookmark10"/>
      <w:bookmarkEnd w:id="10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left"/>
      </w:pPr>
      <w:r>
        <w:rPr>
          <w:rStyle w:val="CharStyle28"/>
        </w:rPr>
        <w:t>Nájemce se zavazuje za užívání nebytových prostor platit pronajímateli nájemné ve výši 95.136,- Kč ročně.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End w:id="12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rStyle w:val="CharStyle28"/>
        </w:rPr>
        <w:t>Nájemce se zavazuje platit pronajímateli za služby podle čl. 2 této smlouvy, spojené s užíváním nebytových prostor podle čl. 1 této smlouvy, úhradu ve výši nákladů, vynaložených pronajímatelem na tyto služby. Nebude-li možno tyto náklady odečítat přímo ze zvláštních měřících zařízení, budou mezi nájemce a ostatní uživatele domu podle čl. 1 této smlouvy rozvrženy podle vzájemného poměru ploch, užívaných v tomto domě nájemce a těmito uživateli.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2" w:lineRule="auto"/>
        <w:ind w:left="0" w:right="0" w:firstLine="0"/>
        <w:jc w:val="center"/>
      </w:pPr>
      <w:bookmarkStart w:id="14" w:name="bookmark14"/>
      <w:bookmarkEnd w:id="14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28"/>
        </w:rPr>
        <w:t>V závislosti na oslabování měny, v níž je sjednáno nájemné podle čl. 5 této smlouvy, je pronajímatel oprávněn zvyšovat toto nájemné a úhradu svým jednostranným opatřením, a to vždy k 1. 1. každého kalendářního roku pro celý následující rok a o částku, odpovídající celkovému indexu inflace, jak bude vyhlašován příslušným orgánem státní správy. Nájemce se zavazuje respektovat toto opatření pronajímatele jako součást této smlouvy.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2" w:lineRule="auto"/>
        <w:ind w:left="0" w:right="0" w:firstLine="0"/>
        <w:jc w:val="center"/>
      </w:pPr>
      <w:bookmarkStart w:id="16" w:name="bookmark16"/>
      <w:bookmarkEnd w:id="16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28"/>
        </w:rPr>
        <w:t>Nájemné podle čl. 5 a čl. 7 této smlouvy je splatné na účet pronajímatele u Moneta Money bank a.s. číslo 117203514/0600 formou pravidelných čtvrtletních splátek ve výši jedné čtvrtiny ročního plnění a ve lhůtě vždy do konce prvního měsíce příslušného čtvrtletí kalendářního roku, a to na základě písemného vyúčtování příslušné splátky (faktury).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2" w:lineRule="auto"/>
        <w:ind w:left="0" w:right="0" w:firstLine="0"/>
        <w:jc w:val="center"/>
      </w:pPr>
      <w:bookmarkStart w:id="18" w:name="bookmark18"/>
      <w:bookmarkEnd w:id="18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28"/>
        </w:rPr>
        <w:t>Úhrada za služby podle čl. 6 této smlouvy je splatná na účet pronajímatele podle čl. 8 této smlouvy formou pravidelných čtvrtletních záloh ve výši 12.000,— Kč a ve lhůtě zároveň s nájemným, a formou ročního vyúčtování po skončení příslušného kalendářního roku ve lhůtě do 10-ti dnů od předložení jeho písemného vyhotovení (faktury).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2" w:lineRule="auto"/>
        <w:ind w:left="0" w:right="0" w:firstLine="0"/>
        <w:jc w:val="center"/>
      </w:pPr>
      <w:bookmarkStart w:id="20" w:name="bookmark20"/>
      <w:bookmarkEnd w:id="20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both"/>
      </w:pPr>
      <w:r>
        <w:rPr>
          <w:rStyle w:val="CharStyle28"/>
        </w:rPr>
        <w:t>Pro případ prodlení se zaplacením nájemného a úhrady za služby ve lhůtách podle čl. 8 a čl. 9 této smlouvy se nájemce zavazuje platit pronajímateli smluvní pokutu ve výši 0,5 % z dlužné částky za každý započatý den prodlení. Tím není dotčeno právo pronajímatele na náhradu škody v plné výši.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2" w:lineRule="auto"/>
        <w:ind w:left="0" w:right="0" w:firstLine="0"/>
        <w:jc w:val="center"/>
      </w:pPr>
      <w:bookmarkStart w:id="22" w:name="bookmark22"/>
      <w:bookmarkEnd w:id="22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both"/>
      </w:pPr>
      <w:r>
        <w:rPr>
          <w:rStyle w:val="CharStyle28"/>
        </w:rPr>
        <w:t>Nájemce se zavazuje s najatými nebytovými prostorami podle čl. 1 této smlouvy nakládat šetrně a přiměřeně jejich účelu a stavebnímu určení a chránit je před poškozením, zneužitím nebo zničením.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4" w:lineRule="auto"/>
        <w:ind w:left="0" w:right="0" w:firstLine="0"/>
        <w:jc w:val="center"/>
      </w:pPr>
      <w:bookmarkStart w:id="24" w:name="bookmark24"/>
      <w:bookmarkEnd w:id="24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both"/>
      </w:pPr>
      <w:r>
        <w:rPr>
          <w:rStyle w:val="CharStyle28"/>
        </w:rPr>
        <w:t>Nebude-li v jednotlivém případě dohodnuto jinak, je nájemce oprávněn provádět stavební a jiné obdobné úpravy najatých nebytových prostor pouze po předchozím písemném souhlasu pronajímatele a na svoje vlastní náklady.</w:t>
      </w:r>
      <w:r>
        <w:br w:type="page"/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2" w:lineRule="auto"/>
        <w:ind w:left="4260" w:right="0" w:firstLine="0"/>
        <w:jc w:val="both"/>
      </w:pPr>
      <w:bookmarkStart w:id="26" w:name="bookmark26"/>
      <w:bookmarkEnd w:id="26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0" w:right="0" w:firstLine="0"/>
        <w:jc w:val="both"/>
      </w:pPr>
      <w:r>
        <w:rPr>
          <w:rStyle w:val="CharStyle28"/>
        </w:rPr>
        <w:t>Nájemce se zavazuje na svoje vlastní náklady provádět běžnou údržbu a drobné opravy najatých nebytových prostor. Drobnými opravami se pro účely této smlouvy rozumí opravy, které v jednotlivém případě nepřevyšují částku 5 000,- Kč.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4260" w:right="0" w:firstLine="0"/>
        <w:jc w:val="both"/>
      </w:pPr>
      <w:bookmarkStart w:id="28" w:name="bookmark28"/>
      <w:bookmarkEnd w:id="28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both"/>
      </w:pPr>
      <w:r>
        <w:rPr>
          <w:rStyle w:val="CharStyle28"/>
        </w:rPr>
        <w:t>Nájemce prohlašuje, že se seznámil se stavebně technickým stavem najatých nebytových prostor a potvrzuje, že podmínky jejich nájmu, jak jsou obsaženy v této smlouvě, byly sjednány s přihlédnutím k tomuto stavu a ke všem případným rizikům z něho vyplývajícím a nemohou být pouze s poukazem na tento stav měněny.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2" w:lineRule="auto"/>
        <w:ind w:left="4260" w:right="0" w:firstLine="0"/>
        <w:jc w:val="both"/>
      </w:pPr>
      <w:bookmarkStart w:id="30" w:name="bookmark30"/>
      <w:bookmarkEnd w:id="30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rStyle w:val="CharStyle28"/>
        </w:rPr>
        <w:t>Není-li touto smlouvou ujednáno jinak, řídí se vzájemný právní vztah mezi pronajímatelem a nájemcem příslušnými ustanoveními občanského zákoníku o nájmu a o nájmu prostor učených k podnikání, s výjimkou ust. par. 2307 a ust. par. 2315 občanského zákoníku.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2" w:lineRule="auto"/>
        <w:ind w:left="4260" w:right="0" w:firstLine="0"/>
        <w:jc w:val="both"/>
      </w:pPr>
      <w:bookmarkStart w:id="32" w:name="bookmark32"/>
      <w:bookmarkEnd w:id="32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0" w:right="0" w:firstLine="0"/>
        <w:jc w:val="both"/>
      </w:pPr>
      <w:r>
        <w:rPr>
          <w:rStyle w:val="CharStyle28"/>
        </w:rPr>
        <w:t>Tato smlouva se uzavírá na dobu určitou 1 roku ode dne její účinnosti.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54" w:lineRule="auto"/>
        <w:ind w:left="4260" w:right="0" w:firstLine="0"/>
        <w:jc w:val="both"/>
      </w:pPr>
      <w:bookmarkStart w:id="34" w:name="bookmark34"/>
      <w:bookmarkEnd w:id="34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340" w:line="254" w:lineRule="auto"/>
        <w:ind w:left="0" w:right="0" w:firstLine="0"/>
        <w:jc w:val="both"/>
      </w:pPr>
      <w:r>
        <w:rPr>
          <w:rStyle w:val="CharStyle28"/>
        </w:rPr>
        <w:t>Tato smlouva nabývá platnosti dnem jejího uzavření a účinnosti dnem jejího uveřejnění v registru smluv, nejdříve však dnem 1. 6. 2023.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64" w:lineRule="auto"/>
        <w:ind w:left="4260" w:right="0" w:firstLine="0"/>
        <w:jc w:val="both"/>
      </w:pPr>
      <w:bookmarkStart w:id="36" w:name="bookmark36"/>
      <w:bookmarkEnd w:id="36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0" w:firstLine="0"/>
        <w:jc w:val="both"/>
      </w:pPr>
      <w:r>
        <w:rPr>
          <w:rStyle w:val="CharStyle28"/>
        </w:rPr>
        <w:t>Není-li touto smlouvou ujednáno jinak, řídí se vzájemný právní vztah mezi oběma stranami ust. par. 2302 a násl. občanského zákoníku.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4260" w:right="0" w:firstLine="0"/>
        <w:jc w:val="both"/>
      </w:pPr>
      <w:bookmarkStart w:id="38" w:name="bookmark38"/>
      <w:bookmarkEnd w:id="38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both"/>
      </w:pPr>
      <w:r>
        <w:rPr>
          <w:rStyle w:val="CharStyle28"/>
        </w:rPr>
        <w:t>Tuto smlouvu lze změnit nebo zrušit pouze jinou písemnou dohodou obou smluvních stran.</w:t>
      </w:r>
    </w:p>
    <w:p>
      <w:pPr>
        <w:pStyle w:val="Style29"/>
        <w:keepNext/>
        <w:keepLines/>
        <w:widowControl w:val="0"/>
        <w:numPr>
          <w:ilvl w:val="0"/>
          <w:numId w:val="3"/>
        </w:numPr>
        <w:shd w:val="clear" w:color="auto" w:fill="auto"/>
        <w:bidi w:val="0"/>
        <w:spacing w:before="0" w:after="0" w:line="254" w:lineRule="auto"/>
        <w:ind w:left="4260" w:right="0" w:firstLine="0"/>
        <w:jc w:val="both"/>
      </w:pPr>
      <w:bookmarkStart w:id="40" w:name="bookmark40"/>
      <w:bookmarkEnd w:id="40"/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640" w:line="254" w:lineRule="auto"/>
        <w:ind w:left="0" w:right="0" w:firstLine="0"/>
        <w:jc w:val="both"/>
      </w:pPr>
      <w:r>
        <w:rPr>
          <w:rStyle w:val="CharStyle28"/>
        </w:rPr>
        <w:t>Dáno v Brně dne 27.3 2023 ve čtyřech originálních písemných vyhotoveních, z nichž každá ze smluvních stran obdrží po dvou.</w:t>
      </w:r>
    </w:p>
    <w:p>
      <w:pPr>
        <w:pStyle w:val="Style33"/>
        <w:keepNext w:val="0"/>
        <w:keepLines w:val="0"/>
        <w:widowControl w:val="0"/>
        <w:shd w:val="clear" w:color="auto" w:fill="auto"/>
        <w:tabs>
          <w:tab w:pos="2909" w:val="left"/>
        </w:tabs>
        <w:bidi w:val="0"/>
        <w:spacing w:before="0" w:after="280" w:line="228" w:lineRule="auto"/>
        <w:ind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1153160</wp:posOffset>
                </wp:positionH>
                <wp:positionV relativeFrom="paragraph">
                  <wp:posOffset>101600</wp:posOffset>
                </wp:positionV>
                <wp:extent cx="2087880" cy="713105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87880" cy="7131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4"/>
                                <w:spacing w:val="3"/>
                                <w:shd w:val="clear" w:color="auto" w:fill="000000"/>
                              </w:rPr>
                              <w:t>......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  <w:rFonts w:ascii="Segoe UI" w:eastAsia="Segoe UI" w:hAnsi="Segoe UI" w:cs="Segoe UI"/>
                                <w:spacing w:val="2"/>
                                <w:sz w:val="32"/>
                                <w:szCs w:val="32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4"/>
                                <w:rFonts w:ascii="Segoe UI" w:eastAsia="Segoe UI" w:hAnsi="Segoe UI" w:cs="Segoe UI"/>
                                <w:spacing w:val="3"/>
                                <w:sz w:val="32"/>
                                <w:szCs w:val="3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4"/>
                                <w:rFonts w:ascii="Segoe UI" w:eastAsia="Segoe UI" w:hAnsi="Segoe UI" w:cs="Segoe UI"/>
                                <w:sz w:val="32"/>
                                <w:szCs w:val="32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rFonts w:ascii="Segoe UI" w:eastAsia="Segoe UI" w:hAnsi="Segoe UI" w:cs="Segoe UI"/>
                                <w:spacing w:val="5"/>
                                <w:sz w:val="32"/>
                                <w:szCs w:val="32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14"/>
                                <w:rFonts w:ascii="Segoe UI" w:eastAsia="Segoe UI" w:hAnsi="Segoe UI" w:cs="Segoe UI"/>
                                <w:spacing w:val="6"/>
                                <w:sz w:val="32"/>
                                <w:szCs w:val="32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4"/>
                                <w:spacing w:val="4"/>
                                <w:shd w:val="clear" w:color="auto" w:fill="000000"/>
                              </w:rPr>
                              <w:t>.......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540" w:firstLine="0"/>
                              <w:jc w:val="right"/>
                            </w:pPr>
                            <w:r>
                              <w:rPr>
                                <w:rStyle w:val="CharStyle14"/>
                                <w:spacing w:val="24"/>
                                <w:shd w:val="clear" w:color="auto" w:fill="000000"/>
                                <w:vertAlign w:val="subscript"/>
                              </w:rPr>
                              <w:t>.</w:t>
                            </w:r>
                            <w:r>
                              <w:rPr>
                                <w:rStyle w:val="CharStyle14"/>
                                <w:spacing w:val="-9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​.........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  <w:rFonts w:ascii="Segoe UI" w:eastAsia="Segoe UI" w:hAnsi="Segoe UI" w:cs="Segoe UI"/>
                                <w:spacing w:val="2"/>
                                <w:sz w:val="32"/>
                                <w:szCs w:val="32"/>
                                <w:shd w:val="clear" w:color="auto" w:fill="000000"/>
                              </w:rPr>
                              <w:t>.....................</w:t>
                            </w:r>
                            <w:r>
                              <w:rPr>
                                <w:rStyle w:val="CharStyle14"/>
                                <w:rFonts w:ascii="Segoe UI" w:eastAsia="Segoe UI" w:hAnsi="Segoe UI" w:cs="Segoe UI"/>
                                <w:spacing w:val="3"/>
                                <w:sz w:val="32"/>
                                <w:szCs w:val="32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14"/>
                                <w:spacing w:val="3"/>
                                <w:shd w:val="clear" w:color="auto" w:fill="000000"/>
                              </w:rPr>
                              <w:t>.......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​..........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60" w:right="0" w:firstLine="0"/>
                              <w:jc w:val="left"/>
                            </w:pP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14"/>
                                <w:spacing w:val="1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4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4"/>
                                <w:spacing w:val="2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4"/>
                                <w:spacing w:val="3"/>
                                <w:shd w:val="clear" w:color="auto" w:fill="000000"/>
                              </w:rPr>
                              <w:t>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90.799999999999997pt;margin-top:8.pt;width:164.40000000000001pt;height:56.14999999999999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4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4"/>
                          <w:spacing w:val="3"/>
                          <w:shd w:val="clear" w:color="auto" w:fill="000000"/>
                        </w:rPr>
                        <w:t>......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rFonts w:ascii="Segoe UI" w:eastAsia="Segoe UI" w:hAnsi="Segoe UI" w:cs="Segoe UI"/>
                          <w:spacing w:val="2"/>
                          <w:sz w:val="32"/>
                          <w:szCs w:val="32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4"/>
                          <w:rFonts w:ascii="Segoe UI" w:eastAsia="Segoe UI" w:hAnsi="Segoe UI" w:cs="Segoe UI"/>
                          <w:spacing w:val="3"/>
                          <w:sz w:val="32"/>
                          <w:szCs w:val="3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4"/>
                          <w:rFonts w:ascii="Segoe UI" w:eastAsia="Segoe UI" w:hAnsi="Segoe UI" w:cs="Segoe UI"/>
                          <w:sz w:val="32"/>
                          <w:szCs w:val="32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rFonts w:ascii="Segoe UI" w:eastAsia="Segoe UI" w:hAnsi="Segoe UI" w:cs="Segoe UI"/>
                          <w:spacing w:val="5"/>
                          <w:sz w:val="32"/>
                          <w:szCs w:val="32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14"/>
                          <w:rFonts w:ascii="Segoe UI" w:eastAsia="Segoe UI" w:hAnsi="Segoe UI" w:cs="Segoe UI"/>
                          <w:spacing w:val="6"/>
                          <w:sz w:val="32"/>
                          <w:szCs w:val="32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4"/>
                          <w:spacing w:val="4"/>
                          <w:shd w:val="clear" w:color="auto" w:fill="000000"/>
                        </w:rPr>
                        <w:t>.......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540" w:firstLine="0"/>
                        <w:jc w:val="right"/>
                      </w:pPr>
                      <w:r>
                        <w:rPr>
                          <w:rStyle w:val="CharStyle14"/>
                          <w:spacing w:val="24"/>
                          <w:shd w:val="clear" w:color="auto" w:fill="000000"/>
                          <w:vertAlign w:val="subscript"/>
                        </w:rPr>
                        <w:t>.</w:t>
                      </w:r>
                      <w:r>
                        <w:rPr>
                          <w:rStyle w:val="CharStyle14"/>
                          <w:spacing w:val="-9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​.........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..........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4"/>
                          <w:rFonts w:ascii="Segoe UI" w:eastAsia="Segoe UI" w:hAnsi="Segoe UI" w:cs="Segoe UI"/>
                          <w:spacing w:val="2"/>
                          <w:sz w:val="32"/>
                          <w:szCs w:val="32"/>
                          <w:shd w:val="clear" w:color="auto" w:fill="000000"/>
                        </w:rPr>
                        <w:t>.....................</w:t>
                      </w:r>
                      <w:r>
                        <w:rPr>
                          <w:rStyle w:val="CharStyle14"/>
                          <w:rFonts w:ascii="Segoe UI" w:eastAsia="Segoe UI" w:hAnsi="Segoe UI" w:cs="Segoe UI"/>
                          <w:spacing w:val="3"/>
                          <w:sz w:val="32"/>
                          <w:szCs w:val="32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14"/>
                          <w:spacing w:val="3"/>
                          <w:shd w:val="clear" w:color="auto" w:fill="000000"/>
                        </w:rPr>
                        <w:t>.......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​..........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........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760" w:right="0" w:firstLine="0"/>
                        <w:jc w:val="left"/>
                      </w:pPr>
                      <w:r>
                        <w:rPr>
                          <w:rStyle w:val="CharStyle14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14"/>
                          <w:spacing w:val="1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4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4"/>
                          <w:spacing w:val="2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4"/>
                          <w:spacing w:val="3"/>
                          <w:shd w:val="clear" w:color="auto" w:fill="000000"/>
                        </w:rPr>
                        <w:t>.....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4"/>
          <w:b/>
          <w:bCs/>
          <w:spacing w:val="3"/>
          <w:shd w:val="clear" w:color="auto" w:fill="000000"/>
        </w:rPr>
        <w:t>......</w:t>
      </w:r>
      <w:r>
        <w:rPr>
          <w:rStyle w:val="CharStyle34"/>
          <w:b/>
          <w:bCs/>
          <w:shd w:val="clear" w:color="auto" w:fill="000000"/>
        </w:rPr>
        <w:t>​</w:t>
      </w:r>
      <w:r>
        <w:rPr>
          <w:rStyle w:val="CharStyle34"/>
          <w:b/>
          <w:bCs/>
          <w:spacing w:val="11"/>
          <w:shd w:val="clear" w:color="auto" w:fill="000000"/>
        </w:rPr>
        <w:t>.</w:t>
      </w:r>
      <w:r>
        <w:rPr>
          <w:rStyle w:val="CharStyle34"/>
          <w:spacing w:val="1"/>
          <w:shd w:val="clear" w:color="auto" w:fill="000000"/>
        </w:rPr>
        <w:t>............</w:t>
      </w:r>
      <w:r>
        <w:rPr>
          <w:rStyle w:val="CharStyle34"/>
          <w:spacing w:val="2"/>
          <w:shd w:val="clear" w:color="auto" w:fill="000000"/>
        </w:rPr>
        <w:t>.......</w:t>
      </w:r>
      <w:r>
        <w:rPr>
          <w:rStyle w:val="CharStyle34"/>
          <w:shd w:val="clear" w:color="auto" w:fill="000000"/>
        </w:rPr>
        <w:t>​</w:t>
      </w:r>
      <w:r>
        <w:rPr>
          <w:rStyle w:val="CharStyle34"/>
          <w:spacing w:val="2"/>
          <w:shd w:val="clear" w:color="auto" w:fill="000000"/>
        </w:rPr>
        <w:t>..................</w:t>
      </w:r>
      <w:r>
        <w:rPr>
          <w:rStyle w:val="CharStyle34"/>
        </w:rPr>
        <w:t xml:space="preserve"> </w:t>
      </w:r>
      <w:r>
        <w:rPr>
          <w:rStyle w:val="CharStyle34"/>
          <w:b/>
          <w:bCs/>
          <w:shd w:val="clear" w:color="auto" w:fill="000000"/>
        </w:rPr>
        <w:t>​</w:t>
      </w:r>
      <w:r>
        <w:rPr>
          <w:rStyle w:val="CharStyle34"/>
          <w:b/>
          <w:bCs/>
          <w:spacing w:val="14"/>
          <w:shd w:val="clear" w:color="auto" w:fill="000000"/>
        </w:rPr>
        <w:t>..</w:t>
      </w:r>
      <w:r>
        <w:rPr>
          <w:rStyle w:val="CharStyle34"/>
          <w:b/>
          <w:bCs/>
          <w:spacing w:val="15"/>
          <w:shd w:val="clear" w:color="auto" w:fill="000000"/>
        </w:rPr>
        <w:t>.</w:t>
      </w:r>
      <w:r>
        <w:rPr>
          <w:rStyle w:val="CharStyle34"/>
          <w:b/>
          <w:bCs/>
          <w:shd w:val="clear" w:color="auto" w:fill="000000"/>
        </w:rPr>
        <w:t>................</w:t>
      </w:r>
      <w:r>
        <w:rPr>
          <w:rStyle w:val="CharStyle34"/>
          <w:b/>
          <w:bCs/>
          <w:spacing w:val="1"/>
          <w:shd w:val="clear" w:color="auto" w:fill="000000"/>
        </w:rPr>
        <w:t>.</w:t>
      </w:r>
      <w:r>
        <w:rPr>
          <w:rStyle w:val="CharStyle34"/>
          <w:spacing w:val="5"/>
          <w:shd w:val="clear" w:color="auto" w:fill="000000"/>
        </w:rPr>
        <w:t>.....</w:t>
      </w:r>
      <w:r>
        <w:rPr>
          <w:rStyle w:val="CharStyle34"/>
          <w:spacing w:val="6"/>
          <w:shd w:val="clear" w:color="auto" w:fill="000000"/>
        </w:rPr>
        <w:t>...</w:t>
      </w:r>
      <w:r>
        <w:rPr>
          <w:rStyle w:val="CharStyle34"/>
          <w:shd w:val="clear" w:color="auto" w:fill="000000"/>
        </w:rPr>
        <w:t>​</w:t>
      </w:r>
      <w:r>
        <w:rPr>
          <w:rStyle w:val="CharStyle34"/>
          <w:spacing w:val="2"/>
          <w:shd w:val="clear" w:color="auto" w:fill="000000"/>
        </w:rPr>
        <w:t>.........</w:t>
      </w:r>
      <w:r>
        <w:rPr>
          <w:rStyle w:val="CharStyle34"/>
          <w:spacing w:val="3"/>
          <w:shd w:val="clear" w:color="auto" w:fill="000000"/>
        </w:rPr>
        <w:t>..</w:t>
      </w:r>
      <w:r>
        <w:rPr>
          <w:rStyle w:val="CharStyle34"/>
          <w:shd w:val="clear" w:color="auto" w:fill="000000"/>
        </w:rPr>
        <w:t>​</w:t>
      </w:r>
      <w:r>
        <w:rPr>
          <w:rStyle w:val="CharStyle34"/>
          <w:spacing w:val="2"/>
          <w:shd w:val="clear" w:color="auto" w:fill="000000"/>
        </w:rPr>
        <w:t>.............</w:t>
      </w:r>
      <w:r>
        <w:rPr>
          <w:rStyle w:val="CharStyle34"/>
          <w:spacing w:val="3"/>
          <w:shd w:val="clear" w:color="auto" w:fill="000000"/>
        </w:rPr>
        <w:t>.....</w:t>
      </w:r>
      <w:r>
        <w:rPr>
          <w:rStyle w:val="CharStyle34"/>
        </w:rPr>
        <w:t xml:space="preserve"> </w:t>
      </w:r>
      <w:r>
        <w:rPr>
          <w:rStyle w:val="CharStyle34"/>
          <w:b/>
          <w:bCs/>
          <w:spacing w:val="5"/>
          <w:shd w:val="clear" w:color="auto" w:fill="000000"/>
        </w:rPr>
        <w:t>..</w:t>
      </w:r>
      <w:r>
        <w:rPr>
          <w:rStyle w:val="CharStyle34"/>
          <w:b/>
          <w:bCs/>
          <w:spacing w:val="6"/>
          <w:shd w:val="clear" w:color="auto" w:fill="000000"/>
        </w:rPr>
        <w:t>.......</w:t>
      </w:r>
      <w:r>
        <w:rPr>
          <w:rStyle w:val="CharStyle34"/>
          <w:shd w:val="clear" w:color="auto" w:fill="000000"/>
        </w:rPr>
        <w:t>​................​</w:t>
      </w:r>
      <w:r>
        <w:rPr>
          <w:rStyle w:val="CharStyle34"/>
          <w:spacing w:val="2"/>
          <w:shd w:val="clear" w:color="auto" w:fill="000000"/>
        </w:rPr>
        <w:t>...................</w:t>
      </w:r>
      <w:r>
        <w:rPr>
          <w:rStyle w:val="CharStyle34"/>
          <w:spacing w:val="3"/>
          <w:shd w:val="clear" w:color="auto" w:fill="000000"/>
        </w:rPr>
        <w:t>..</w:t>
      </w:r>
      <w:r>
        <w:rPr>
          <w:rStyle w:val="CharStyle34"/>
        </w:rPr>
        <w:t xml:space="preserve"> </w:t>
      </w:r>
      <w:r>
        <w:rPr>
          <w:rStyle w:val="CharStyle34"/>
          <w:b/>
          <w:bCs/>
          <w:shd w:val="clear" w:color="auto" w:fill="000000"/>
        </w:rPr>
        <w:t>​</w:t>
      </w:r>
      <w:r>
        <w:rPr>
          <w:rStyle w:val="CharStyle34"/>
          <w:b/>
          <w:bCs/>
          <w:spacing w:val="5"/>
          <w:shd w:val="clear" w:color="auto" w:fill="000000"/>
        </w:rPr>
        <w:t>..</w:t>
      </w:r>
      <w:r>
        <w:rPr>
          <w:rStyle w:val="CharStyle34"/>
          <w:b/>
          <w:bCs/>
          <w:spacing w:val="6"/>
          <w:shd w:val="clear" w:color="auto" w:fill="000000"/>
        </w:rPr>
        <w:t>.</w:t>
      </w:r>
      <w:r>
        <w:rPr>
          <w:rStyle w:val="CharStyle34"/>
          <w:b/>
          <w:bCs/>
          <w:shd w:val="clear" w:color="auto" w:fill="000000"/>
        </w:rPr>
        <w:t>​...​</w:t>
      </w:r>
      <w:r>
        <w:rPr>
          <w:rStyle w:val="CharStyle34"/>
          <w:b/>
          <w:bCs/>
          <w:spacing w:val="14"/>
          <w:shd w:val="clear" w:color="auto" w:fill="000000"/>
        </w:rPr>
        <w:t>....</w:t>
      </w:r>
      <w:r>
        <w:rPr>
          <w:rStyle w:val="CharStyle34"/>
          <w:b/>
          <w:bCs/>
          <w:shd w:val="clear" w:color="auto" w:fill="000000"/>
        </w:rPr>
        <w:t>​</w:t>
      </w:r>
      <w:r>
        <w:rPr>
          <w:rStyle w:val="CharStyle34"/>
          <w:b/>
          <w:bCs/>
          <w:spacing w:val="15"/>
          <w:shd w:val="clear" w:color="auto" w:fill="000000"/>
        </w:rPr>
        <w:t>...</w:t>
      </w:r>
      <w:r>
        <w:rPr>
          <w:rStyle w:val="CharStyle34"/>
          <w:b/>
          <w:bCs/>
          <w:shd w:val="clear" w:color="auto" w:fill="000000"/>
        </w:rPr>
        <w:t>​</w:t>
      </w:r>
      <w:r>
        <w:rPr>
          <w:rStyle w:val="CharStyle34"/>
          <w:b/>
          <w:bCs/>
          <w:spacing w:val="4"/>
          <w:shd w:val="clear" w:color="auto" w:fill="000000"/>
        </w:rPr>
        <w:t>...</w:t>
      </w:r>
      <w:r>
        <w:rPr>
          <w:rStyle w:val="CharStyle34"/>
          <w:b/>
          <w:bCs/>
          <w:spacing w:val="5"/>
          <w:shd w:val="clear" w:color="auto" w:fill="000000"/>
        </w:rPr>
        <w:t>.</w:t>
      </w:r>
      <w:r>
        <w:rPr>
          <w:rStyle w:val="CharStyle34"/>
          <w:b/>
          <w:bCs/>
          <w:shd w:val="clear" w:color="auto" w:fill="000000"/>
        </w:rPr>
        <w:t>​</w:t>
      </w:r>
      <w:r>
        <w:rPr>
          <w:rStyle w:val="CharStyle34"/>
          <w:b/>
          <w:bCs/>
          <w:spacing w:val="12"/>
          <w:shd w:val="clear" w:color="auto" w:fill="000000"/>
        </w:rPr>
        <w:t>.....</w:t>
      </w:r>
      <w:r>
        <w:rPr>
          <w:rStyle w:val="CharStyle34"/>
          <w:shd w:val="clear" w:color="auto" w:fill="000000"/>
        </w:rPr>
        <w:t>​..........</w:t>
      </w:r>
      <w:r>
        <w:rPr>
          <w:rStyle w:val="CharStyle34"/>
          <w:spacing w:val="1"/>
          <w:shd w:val="clear" w:color="auto" w:fill="000000"/>
        </w:rPr>
        <w:t>........</w:t>
      </w:r>
      <w:r>
        <w:rPr>
          <w:rStyle w:val="CharStyle34"/>
          <w:shd w:val="clear" w:color="auto" w:fill="000000"/>
        </w:rPr>
        <w:t>​</w:t>
      </w:r>
      <w:r>
        <w:rPr>
          <w:rStyle w:val="CharStyle34"/>
          <w:spacing w:val="1"/>
          <w:shd w:val="clear" w:color="auto" w:fill="000000"/>
        </w:rPr>
        <w:t>.........</w:t>
      </w:r>
      <w:r>
        <w:rPr>
          <w:rStyle w:val="CharStyle34"/>
          <w:shd w:val="clear" w:color="auto" w:fill="000000"/>
        </w:rPr>
        <w:t>.....</w:t>
      </w:r>
      <w:r>
        <w:rPr>
          <w:rStyle w:val="CharStyle34"/>
          <w:spacing w:val="1"/>
          <w:shd w:val="clear" w:color="auto" w:fill="000000"/>
        </w:rPr>
        <w:t>.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980"/>
        <w:jc w:val="both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5027295</wp:posOffset>
                </wp:positionH>
                <wp:positionV relativeFrom="paragraph">
                  <wp:posOffset>12700</wp:posOffset>
                </wp:positionV>
                <wp:extent cx="567055" cy="1917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8"/>
                              </w:rPr>
                              <w:t>nájemce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95.85000000000002pt;margin-top:1.pt;width:44.649999999999999pt;height:15.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8"/>
                        </w:rPr>
                        <w:t>nájemce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28"/>
        </w:rPr>
        <w:t>pronajímatel</w:t>
      </w:r>
      <w:r>
        <w:br w:type="page"/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815840" cy="3242945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815840" cy="324294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70" w:right="1487" w:bottom="2320" w:left="149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958215</wp:posOffset>
              </wp:positionH>
              <wp:positionV relativeFrom="page">
                <wp:posOffset>352425</wp:posOffset>
              </wp:positionV>
              <wp:extent cx="774065" cy="9461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7406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color w:val="A7CFD7"/>
                              <w:sz w:val="14"/>
                              <w:szCs w:val="14"/>
                            </w:rPr>
                            <w:t>i záchranná služba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5.450000000000003pt;margin-top:27.75pt;width:60.950000000000003pt;height:7.4500000000000002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color w:val="A7CFD7"/>
                        <w:sz w:val="14"/>
                        <w:szCs w:val="14"/>
                      </w:rPr>
                      <w:t>i záchranná služba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4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A7CFD7"/>
      <w:sz w:val="32"/>
      <w:szCs w:val="32"/>
      <w:u w:val="none"/>
    </w:rPr>
  </w:style>
  <w:style w:type="character" w:customStyle="1" w:styleId="CharStyle11">
    <w:name w:val="Základní text (5)_"/>
    <w:basedOn w:val="DefaultParagraphFont"/>
    <w:link w:val="Style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5B88"/>
      <w:sz w:val="32"/>
      <w:szCs w:val="32"/>
      <w:u w:val="none"/>
    </w:rPr>
  </w:style>
  <w:style w:type="character" w:customStyle="1" w:styleId="CharStyle14">
    <w:name w:val="Základní text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28">
    <w:name w:val="Základní text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0">
    <w:name w:val="Nadpis #1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34">
    <w:name w:val="Základní text (2)_"/>
    <w:basedOn w:val="DefaultParagraphFont"/>
    <w:link w:val="Style33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4)"/>
    <w:basedOn w:val="Normal"/>
    <w:link w:val="CharStyle8"/>
    <w:pPr>
      <w:widowControl w:val="0"/>
      <w:shd w:val="clear" w:color="auto" w:fill="auto"/>
      <w:spacing w:after="110" w:line="218" w:lineRule="auto"/>
      <w:ind w:firstLine="4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A7CFD7"/>
      <w:sz w:val="32"/>
      <w:szCs w:val="32"/>
      <w:u w:val="none"/>
    </w:rPr>
  </w:style>
  <w:style w:type="paragraph" w:customStyle="1" w:styleId="Style10">
    <w:name w:val="Základní text (5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15B88"/>
      <w:sz w:val="32"/>
      <w:szCs w:val="32"/>
      <w:u w:val="none"/>
    </w:rPr>
  </w:style>
  <w:style w:type="paragraph" w:customStyle="1" w:styleId="Style13">
    <w:name w:val="Základní text (3)"/>
    <w:basedOn w:val="Normal"/>
    <w:link w:val="CharStyle14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7">
    <w:name w:val="Základní text"/>
    <w:basedOn w:val="Normal"/>
    <w:link w:val="CharStyle28"/>
    <w:pPr>
      <w:widowControl w:val="0"/>
      <w:shd w:val="clear" w:color="auto" w:fill="auto"/>
      <w:spacing w:after="30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9">
    <w:name w:val="Nadpis #1"/>
    <w:basedOn w:val="Normal"/>
    <w:link w:val="CharStyle30"/>
    <w:pPr>
      <w:widowControl w:val="0"/>
      <w:shd w:val="clear" w:color="auto" w:fill="auto"/>
      <w:spacing w:line="259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33">
    <w:name w:val="Základní text (2)"/>
    <w:basedOn w:val="Normal"/>
    <w:link w:val="CharStyle34"/>
    <w:pPr>
      <w:widowControl w:val="0"/>
      <w:shd w:val="clear" w:color="auto" w:fill="auto"/>
      <w:spacing w:after="170" w:line="209" w:lineRule="auto"/>
      <w:ind w:left="720"/>
      <w:jc w:val="right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