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4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technického dozoru stavebníka</w:t>
      </w:r>
      <w:bookmarkEnd w:id="0"/>
      <w:bookmarkEnd w:id="1"/>
    </w:p>
    <w:p>
      <w:pPr>
        <w:pStyle w:val="Style2"/>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na staveništi (dopravní stavby)</w:t>
      </w:r>
      <w:bookmarkEnd w:id="2"/>
      <w:bookmarkEnd w:id="3"/>
    </w:p>
    <w:p>
      <w:pPr>
        <w:pStyle w:val="Style1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na akci:</w:t>
      </w:r>
    </w:p>
    <w:p>
      <w:pPr>
        <w:pStyle w:val="Style2"/>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„III/35433 Olší nad Oslavou - most ev. č. 35433-2“</w:t>
      </w:r>
      <w:bookmarkEnd w:id="4"/>
      <w:bookmarkEnd w:id="5"/>
    </w:p>
    <w:p>
      <w:pPr>
        <w:pStyle w:val="Style14"/>
        <w:keepNext w:val="0"/>
        <w:keepLines w:val="0"/>
        <w:widowControl w:val="0"/>
        <w:shd w:val="clear" w:color="auto" w:fill="auto"/>
        <w:bidi w:val="0"/>
        <w:spacing w:before="0" w:after="340" w:line="240" w:lineRule="auto"/>
        <w:ind w:left="0" w:right="0" w:firstLine="840"/>
        <w:jc w:val="left"/>
      </w:pPr>
      <w:r>
        <w:rPr>
          <w:color w:val="000000"/>
          <w:spacing w:val="0"/>
          <w:w w:val="100"/>
          <w:position w:val="0"/>
          <w:shd w:val="clear" w:color="auto" w:fill="auto"/>
          <w:lang w:val="cs-CZ" w:eastAsia="cs-CZ" w:bidi="cs-CZ"/>
        </w:rPr>
        <w:t>uzavřená podle § 1746 odst. 2 zákona č. 89/2012 Sb., občanský zákoník, v platném znění</w:t>
      </w:r>
    </w:p>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14"/>
        <w:keepNext w:val="0"/>
        <w:keepLines w:val="0"/>
        <w:widowControl w:val="0"/>
        <w:shd w:val="clear" w:color="auto" w:fill="auto"/>
        <w:bidi w:val="0"/>
        <w:spacing w:before="0" w:after="440" w:line="240" w:lineRule="auto"/>
        <w:ind w:left="0" w:right="0" w:firstLine="0"/>
        <w:jc w:val="left"/>
      </w:pPr>
      <w:r>
        <w:rPr>
          <w:i/>
          <w:iCs/>
          <w:color w:val="000000"/>
          <w:spacing w:val="0"/>
          <w:w w:val="100"/>
          <w:position w:val="0"/>
          <w:shd w:val="clear" w:color="auto" w:fill="auto"/>
          <w:lang w:val="cs-CZ" w:eastAsia="cs-CZ" w:bidi="cs-CZ"/>
        </w:rPr>
        <w:t>Číslo smlouvy dodavatele:</w:t>
      </w:r>
    </w:p>
    <w:p>
      <w:pPr>
        <w:pStyle w:val="Style17"/>
        <w:keepNext w:val="0"/>
        <w:keepLines w:val="0"/>
        <w:widowControl w:val="0"/>
        <w:shd w:val="clear" w:color="auto" w:fill="auto"/>
        <w:bidi w:val="0"/>
        <w:spacing w:before="0" w:after="0" w:line="240" w:lineRule="auto"/>
        <w:ind w:left="444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877"/>
        <w:gridCol w:w="6470"/>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Radovanem Necidem, ředitelem organizace</w:t>
            </w:r>
          </w:p>
        </w:tc>
      </w:tr>
    </w:tbl>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1877"/>
        <w:gridCol w:w="6466"/>
      </w:tblGrid>
      <w:tr>
        <w:trPr>
          <w:trHeight w:val="264"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editel organizace</w:t>
            </w:r>
          </w:p>
        </w:tc>
      </w:tr>
      <w:tr>
        <w:trPr>
          <w:trHeight w:val="274"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317"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CZ00090450</w:t>
            </w:r>
          </w:p>
        </w:tc>
      </w:tr>
    </w:tbl>
    <w:p>
      <w:pPr>
        <w:pStyle w:val="Style17"/>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Telefon:</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left"/>
        <w:tblLayout w:type="fixed"/>
      </w:tblPr>
      <w:tblGrid>
        <w:gridCol w:w="1877"/>
        <w:gridCol w:w="6466"/>
      </w:tblGrid>
      <w:tr>
        <w:trPr>
          <w:trHeight w:val="317"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Kraj Vysočina</w:t>
            </w:r>
          </w:p>
        </w:tc>
      </w:tr>
    </w:tbl>
    <w:p>
      <w:pPr>
        <w:pStyle w:val="Style17"/>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99" w:line="1" w:lineRule="exact"/>
      </w:pPr>
    </w:p>
    <w:tbl>
      <w:tblPr>
        <w:tblOverlap w:val="never"/>
        <w:jc w:val="left"/>
        <w:tblLayout w:type="fixed"/>
      </w:tblPr>
      <w:tblGrid>
        <w:gridCol w:w="1877"/>
        <w:gridCol w:w="6466"/>
      </w:tblGrid>
      <w:tr>
        <w:trPr>
          <w:trHeight w:val="245"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IMDS s.r.o.</w:t>
            </w:r>
          </w:p>
        </w:tc>
      </w:tr>
      <w:tr>
        <w:trPr>
          <w:trHeight w:val="29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Jiráskova 370, 533 72 Moravany</w:t>
            </w:r>
          </w:p>
        </w:tc>
      </w:tr>
      <w:tr>
        <w:trPr>
          <w:trHeight w:val="27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Albert Jurkovič, jednatel</w:t>
            </w:r>
          </w:p>
        </w:tc>
      </w:tr>
    </w:tbl>
    <w:p>
      <w:pPr>
        <w:pStyle w:val="Style1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zapsán v obchodním rejstříku C 34044 vedená u Krajského soudu v Hradci Králové Osoba pověřená jednat jménem dodavatele ve věcech</w:t>
      </w:r>
    </w:p>
    <w:tbl>
      <w:tblPr>
        <w:tblOverlap w:val="never"/>
        <w:jc w:val="left"/>
        <w:tblLayout w:type="fixed"/>
      </w:tblPr>
      <w:tblGrid>
        <w:gridCol w:w="1877"/>
        <w:gridCol w:w="6466"/>
      </w:tblGrid>
      <w:tr>
        <w:trPr>
          <w:trHeight w:val="259"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0"/>
              <w:keepNext w:val="0"/>
              <w:keepLines w:val="0"/>
              <w:widowControl w:val="0"/>
              <w:shd w:val="clear" w:color="auto" w:fill="auto"/>
              <w:tabs>
                <w:tab w:pos="4759" w:val="left"/>
              </w:tabs>
              <w:bidi w:val="0"/>
              <w:spacing w:before="0" w:after="0" w:line="240" w:lineRule="auto"/>
              <w:ind w:left="2100" w:right="0" w:firstLine="0"/>
              <w:jc w:val="left"/>
            </w:pPr>
            <w:r>
              <w:rPr>
                <w:color w:val="000000"/>
                <w:spacing w:val="0"/>
                <w:w w:val="100"/>
                <w:position w:val="0"/>
                <w:shd w:val="clear" w:color="auto" w:fill="auto"/>
                <w:lang w:val="cs-CZ" w:eastAsia="cs-CZ" w:bidi="cs-CZ"/>
              </w:rPr>
              <w:t>ednatel;</w:t>
              <w:tab/>
              <w:t>jednatel</w:t>
            </w:r>
          </w:p>
        </w:tc>
      </w:tr>
      <w:tr>
        <w:trPr>
          <w:trHeight w:val="27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034 02 606</w:t>
            </w:r>
          </w:p>
        </w:tc>
      </w:tr>
      <w:tr>
        <w:trPr>
          <w:trHeight w:val="32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CZ03402606</w:t>
            </w:r>
          </w:p>
        </w:tc>
      </w:tr>
    </w:tbl>
    <w:p>
      <w:pPr>
        <w:pStyle w:val="Style17"/>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„TDS“)</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1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w:t>
      </w:r>
      <w:r>
        <w:rPr>
          <w:color w:val="000000"/>
          <w:spacing w:val="0"/>
          <w:w w:val="100"/>
          <w:position w:val="0"/>
          <w:shd w:val="clear" w:color="auto" w:fill="auto"/>
          <w:lang w:val="cs-CZ" w:eastAsia="cs-CZ" w:bidi="cs-CZ"/>
        </w:rPr>
        <w:t>sjednané odměny za jejich provedení a obě strany se zavazují plnit podmínky obsažené v následujících ustanoveních této smlouvy.</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4"/>
        <w:keepNext w:val="0"/>
        <w:keepLines w:val="0"/>
        <w:widowControl w:val="0"/>
        <w:numPr>
          <w:ilvl w:val="0"/>
          <w:numId w:val="1"/>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pPr>
        <w:pStyle w:val="Style14"/>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„III/35433 Olší nad Oslavou - most ev. č. 35433-2“,</w:t>
      </w:r>
    </w:p>
    <w:p>
      <w:pPr>
        <w:pStyle w:val="Style14"/>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to vše v souladu s nabídkou dodavatele podanou v rámci výběrového řízení ze dne </w:t>
      </w:r>
      <w:r>
        <w:rPr>
          <w:b/>
          <w:bCs/>
          <w:color w:val="000000"/>
          <w:spacing w:val="0"/>
          <w:w w:val="100"/>
          <w:position w:val="0"/>
          <w:shd w:val="clear" w:color="auto" w:fill="auto"/>
          <w:lang w:val="cs-CZ" w:eastAsia="cs-CZ" w:bidi="cs-CZ"/>
        </w:rPr>
        <w:t xml:space="preserve">13.03.2023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4"/>
        <w:keepNext w:val="0"/>
        <w:keepLines w:val="0"/>
        <w:widowControl w:val="0"/>
        <w:numPr>
          <w:ilvl w:val="0"/>
          <w:numId w:val="1"/>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4"/>
        <w:keepNext w:val="0"/>
        <w:keepLines w:val="0"/>
        <w:widowControl w:val="0"/>
        <w:numPr>
          <w:ilvl w:val="0"/>
          <w:numId w:val="1"/>
        </w:numPr>
        <w:shd w:val="clear" w:color="auto" w:fill="auto"/>
        <w:tabs>
          <w:tab w:pos="710" w:val="left"/>
        </w:tabs>
        <w:bidi w:val="0"/>
        <w:spacing w:before="0" w:after="460" w:line="240"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14"/>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4"/>
        <w:keepNext w:val="0"/>
        <w:keepLines w:val="0"/>
        <w:widowControl w:val="0"/>
        <w:numPr>
          <w:ilvl w:val="1"/>
          <w:numId w:val="1"/>
        </w:numPr>
        <w:shd w:val="clear" w:color="auto" w:fill="auto"/>
        <w:tabs>
          <w:tab w:pos="710" w:val="left"/>
        </w:tabs>
        <w:bidi w:val="0"/>
        <w:spacing w:before="0" w:after="120" w:line="240" w:lineRule="auto"/>
        <w:ind w:left="0" w:right="0" w:firstLine="0"/>
        <w:jc w:val="both"/>
      </w:pPr>
      <w:r>
        <w:rPr>
          <w:b/>
          <w:bCs/>
          <w:color w:val="000000"/>
          <w:spacing w:val="0"/>
          <w:w w:val="100"/>
          <w:position w:val="0"/>
          <w:shd w:val="clear" w:color="auto" w:fill="auto"/>
          <w:lang w:val="cs-CZ" w:eastAsia="cs-CZ" w:bidi="cs-CZ"/>
        </w:rPr>
        <w:t>Přípravné činnosti před zahájením stavby spočívající zejména v činnostech:</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prohlídka staveniště před zahájením vlastních stavebních prací</w:t>
      </w:r>
    </w:p>
    <w:p>
      <w:pPr>
        <w:pStyle w:val="Style14"/>
        <w:keepNext w:val="0"/>
        <w:keepLines w:val="0"/>
        <w:widowControl w:val="0"/>
        <w:shd w:val="clear" w:color="auto" w:fill="auto"/>
        <w:bidi w:val="0"/>
        <w:spacing w:before="0" w:after="24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4"/>
        <w:keepNext w:val="0"/>
        <w:keepLines w:val="0"/>
        <w:widowControl w:val="0"/>
        <w:numPr>
          <w:ilvl w:val="1"/>
          <w:numId w:val="1"/>
        </w:numPr>
        <w:shd w:val="clear" w:color="auto" w:fill="auto"/>
        <w:tabs>
          <w:tab w:pos="710" w:val="left"/>
        </w:tabs>
        <w:bidi w:val="0"/>
        <w:spacing w:before="0" w:after="120" w:line="240" w:lineRule="auto"/>
        <w:ind w:left="0" w:right="0" w:firstLine="0"/>
        <w:jc w:val="both"/>
      </w:pPr>
      <w:r>
        <w:rPr>
          <w:b/>
          <w:bCs/>
          <w:color w:val="000000"/>
          <w:spacing w:val="0"/>
          <w:w w:val="100"/>
          <w:position w:val="0"/>
          <w:shd w:val="clear" w:color="auto" w:fill="auto"/>
          <w:lang w:val="cs-CZ" w:eastAsia="cs-CZ" w:bidi="cs-CZ"/>
        </w:rPr>
        <w:t>Práce spojené s prováděním stavby spočívající zejména v činnostech:</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pokud nebude se zadavatelem dohodnuto jinak</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14"/>
        <w:keepNext w:val="0"/>
        <w:keepLines w:val="0"/>
        <w:widowControl w:val="0"/>
        <w:shd w:val="clear" w:color="auto" w:fill="auto"/>
        <w:bidi w:val="0"/>
        <w:spacing w:before="0" w:after="120" w:line="240" w:lineRule="auto"/>
        <w:ind w:left="1140" w:right="0" w:hanging="42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4"/>
        <w:keepNext w:val="0"/>
        <w:keepLines w:val="0"/>
        <w:widowControl w:val="0"/>
        <w:shd w:val="clear" w:color="auto" w:fill="auto"/>
        <w:bidi w:val="0"/>
        <w:spacing w:before="0" w:after="120" w:line="240" w:lineRule="auto"/>
        <w:ind w:left="1140" w:right="0" w:hanging="420"/>
        <w:jc w:val="both"/>
        <w:sectPr>
          <w:headerReference w:type="default" r:id="rId5"/>
          <w:footerReference w:type="default" r:id="rId6"/>
          <w:footnotePr>
            <w:pos w:val="pageBottom"/>
            <w:numFmt w:val="decimal"/>
            <w:numRestart w:val="continuous"/>
          </w:footnotePr>
          <w:pgSz w:w="12240" w:h="15840"/>
          <w:pgMar w:top="1891" w:left="1157" w:right="1291" w:bottom="1521" w:header="0" w:footer="3" w:gutter="0"/>
          <w:pgNumType w:start="1"/>
          <w:cols w:space="720"/>
          <w:noEndnote/>
          <w:rtlGutter w:val="0"/>
          <w:docGrid w:linePitch="360"/>
        </w:sectPr>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widowControl w:val="0"/>
        <w:jc w:val="center"/>
        <w:rPr>
          <w:sz w:val="2"/>
          <w:szCs w:val="2"/>
        </w:rPr>
      </w:pPr>
      <w:r>
        <w:drawing>
          <wp:inline>
            <wp:extent cx="1121410" cy="43307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pic:blipFill>
                  <pic:spPr>
                    <a:xfrm>
                      <a:ext cx="1121410" cy="433070"/>
                    </a:xfrm>
                    <a:prstGeom prst="rect"/>
                  </pic:spPr>
                </pic:pic>
              </a:graphicData>
            </a:graphic>
          </wp:inline>
        </w:drawing>
      </w:r>
    </w:p>
    <w:p>
      <w:pPr>
        <w:widowControl w:val="0"/>
        <w:spacing w:after="819" w:line="1" w:lineRule="exact"/>
      </w:pP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 xml:space="preserve">svolávání a organizace pravidelných kontrolních dnů v četnosti podle požadavku zadavatele včetně zápisu z kontrolního dne stavby včetně </w:t>
      </w:r>
      <w:r>
        <w:rPr>
          <w:b/>
          <w:bCs/>
          <w:color w:val="000000"/>
          <w:spacing w:val="0"/>
          <w:w w:val="100"/>
          <w:position w:val="0"/>
          <w:shd w:val="clear" w:color="auto" w:fill="auto"/>
          <w:lang w:val="cs-CZ" w:eastAsia="cs-CZ" w:bidi="cs-CZ"/>
        </w:rPr>
        <w:t xml:space="preserve">příslušné fotodokumentace opatřené průkazným datem jejího pořízení, </w:t>
      </w:r>
      <w:r>
        <w:rPr>
          <w:color w:val="000000"/>
          <w:spacing w:val="0"/>
          <w:w w:val="100"/>
          <w:position w:val="0"/>
          <w:shd w:val="clear" w:color="auto" w:fill="auto"/>
          <w:lang w:val="cs-CZ" w:eastAsia="cs-CZ" w:bidi="cs-CZ"/>
        </w:rPr>
        <w:t>zápis bude TDS zpracován a odeslán objednateli do 3 pracovních dnů od termínu konání kontrolního dne</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kontrola dodržování schválených technologických postupů</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stavbyvedoucím a s orgány příslušnými v rámci stavebních akcí</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příprava podkladů pro odevzdání a převzetí stavby, nebo její části</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kontrola vyklizení staveniště zhotovitelem</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14"/>
        <w:keepNext w:val="0"/>
        <w:keepLines w:val="0"/>
        <w:widowControl w:val="0"/>
        <w:shd w:val="clear" w:color="auto" w:fill="auto"/>
        <w:bidi w:val="0"/>
        <w:spacing w:before="0" w:after="120" w:line="240" w:lineRule="auto"/>
        <w:ind w:left="1140" w:right="0" w:firstLine="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4"/>
        <w:keepNext w:val="0"/>
        <w:keepLines w:val="0"/>
        <w:widowControl w:val="0"/>
        <w:numPr>
          <w:ilvl w:val="1"/>
          <w:numId w:val="1"/>
        </w:numPr>
        <w:shd w:val="clear" w:color="auto" w:fill="auto"/>
        <w:tabs>
          <w:tab w:pos="638" w:val="left"/>
        </w:tabs>
        <w:bidi w:val="0"/>
        <w:spacing w:before="0" w:after="120" w:line="240" w:lineRule="auto"/>
        <w:ind w:left="0" w:right="0" w:firstLine="0"/>
        <w:jc w:val="both"/>
      </w:pPr>
      <w:r>
        <w:rPr>
          <w:b/>
          <w:bCs/>
          <w:color w:val="000000"/>
          <w:spacing w:val="0"/>
          <w:w w:val="100"/>
          <w:position w:val="0"/>
          <w:shd w:val="clear" w:color="auto" w:fill="auto"/>
          <w:lang w:val="cs-CZ" w:eastAsia="cs-CZ" w:bidi="cs-CZ"/>
        </w:rPr>
        <w:t>Práce po dokončení stavby spočívající zejména v činnostech:</w:t>
      </w:r>
    </w:p>
    <w:p>
      <w:pPr>
        <w:pStyle w:val="Style14"/>
        <w:keepNext w:val="0"/>
        <w:keepLines w:val="0"/>
        <w:widowControl w:val="0"/>
        <w:shd w:val="clear" w:color="auto" w:fill="auto"/>
        <w:bidi w:val="0"/>
        <w:spacing w:before="0" w:after="340" w:line="240" w:lineRule="auto"/>
        <w:ind w:left="0" w:right="0" w:firstLine="720"/>
        <w:jc w:val="left"/>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zpracování podkladů pro závěrečné vyúčtování stavby po odstranění event. závad.</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14"/>
        <w:keepNext w:val="0"/>
        <w:keepLines w:val="0"/>
        <w:widowControl w:val="0"/>
        <w:numPr>
          <w:ilvl w:val="0"/>
          <w:numId w:val="3"/>
        </w:numPr>
        <w:shd w:val="clear" w:color="auto" w:fill="auto"/>
        <w:tabs>
          <w:tab w:pos="638" w:val="left"/>
        </w:tabs>
        <w:bidi w:val="0"/>
        <w:spacing w:before="0" w:after="120" w:line="240" w:lineRule="auto"/>
        <w:ind w:left="0" w:right="0" w:firstLine="0"/>
        <w:jc w:val="both"/>
        <w:sectPr>
          <w:headerReference w:type="default" r:id="rId9"/>
          <w:footerReference w:type="default" r:id="rId10"/>
          <w:footnotePr>
            <w:pos w:val="pageBottom"/>
            <w:numFmt w:val="decimal"/>
            <w:numRestart w:val="continuous"/>
          </w:footnotePr>
          <w:pgSz w:w="12240" w:h="15840"/>
          <w:pgMar w:top="730" w:left="1157" w:right="1291" w:bottom="912" w:header="0" w:footer="3" w:gutter="0"/>
          <w:cols w:space="720"/>
          <w:noEndnote/>
          <w:rtlGutter w:val="0"/>
          <w:docGrid w:linePitch="360"/>
        </w:sectPr>
      </w:pPr>
      <w:r>
        <w:rPr>
          <w:color w:val="000000"/>
          <w:spacing w:val="0"/>
          <w:w w:val="100"/>
          <w:position w:val="0"/>
          <w:shd w:val="clear" w:color="auto" w:fill="auto"/>
          <w:lang w:val="cs-CZ" w:eastAsia="cs-CZ" w:bidi="cs-CZ"/>
        </w:rPr>
        <w:t>TDS zahájí svoji činnost ihned po účinnosti smlouvy na výzvu objednatele dle článku 10, bod 10.12., okamžikem prvního úkonu dle článku 3, bod 3.1.</w:t>
      </w:r>
    </w:p>
    <w:p>
      <w:pPr>
        <w:pStyle w:val="Style14"/>
        <w:keepNext w:val="0"/>
        <w:keepLines w:val="0"/>
        <w:widowControl w:val="0"/>
        <w:numPr>
          <w:ilvl w:val="0"/>
          <w:numId w:val="3"/>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Odměna TDS, platební podmínky</w:t>
      </w:r>
    </w:p>
    <w:p>
      <w:pPr>
        <w:pStyle w:val="Style14"/>
        <w:keepNext w:val="0"/>
        <w:keepLines w:val="0"/>
        <w:widowControl w:val="0"/>
        <w:numPr>
          <w:ilvl w:val="0"/>
          <w:numId w:val="5"/>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4"/>
        <w:keepNext w:val="0"/>
        <w:keepLines w:val="0"/>
        <w:widowControl w:val="0"/>
        <w:shd w:val="clear" w:color="auto" w:fill="auto"/>
        <w:bidi w:val="0"/>
        <w:spacing w:before="0" w:after="34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right"/>
        <w:tblLayout w:type="fixed"/>
      </w:tblPr>
      <w:tblGrid>
        <w:gridCol w:w="4397"/>
        <w:gridCol w:w="3835"/>
      </w:tblGrid>
      <w:tr>
        <w:trPr>
          <w:trHeight w:val="50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15.000 Kč bez DPH</w:t>
            </w:r>
          </w:p>
        </w:tc>
      </w:tr>
      <w:tr>
        <w:trPr>
          <w:trHeight w:val="509"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10.000 Kč bez DPH</w:t>
            </w:r>
          </w:p>
        </w:tc>
      </w:tr>
      <w:tr>
        <w:trPr>
          <w:trHeight w:val="50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25.000 Kč</w:t>
            </w:r>
          </w:p>
        </w:tc>
      </w:tr>
      <w:tr>
        <w:trPr>
          <w:trHeight w:val="437"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2020" w:right="0" w:firstLine="0"/>
              <w:jc w:val="left"/>
            </w:pPr>
            <w:r>
              <w:rPr>
                <w:b/>
                <w:bCs/>
                <w:color w:val="000000"/>
                <w:spacing w:val="0"/>
                <w:w w:val="100"/>
                <w:position w:val="0"/>
                <w:shd w:val="clear" w:color="auto" w:fill="auto"/>
                <w:lang w:val="cs-CZ" w:eastAsia="cs-CZ" w:bidi="cs-CZ"/>
              </w:rPr>
              <w:t>5.250 Kč</w:t>
            </w:r>
          </w:p>
        </w:tc>
      </w:tr>
      <w:tr>
        <w:trPr>
          <w:trHeight w:val="571"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30.250 Kč</w:t>
            </w:r>
          </w:p>
        </w:tc>
      </w:tr>
    </w:tbl>
    <w:p>
      <w:pPr>
        <w:widowControl w:val="0"/>
        <w:spacing w:after="339" w:line="1" w:lineRule="exact"/>
      </w:pPr>
    </w:p>
    <w:p>
      <w:pPr>
        <w:pStyle w:val="Style14"/>
        <w:keepNext w:val="0"/>
        <w:keepLines w:val="0"/>
        <w:widowControl w:val="0"/>
        <w:shd w:val="clear" w:color="auto" w:fill="auto"/>
        <w:bidi w:val="0"/>
        <w:spacing w:before="0" w:after="240" w:line="240" w:lineRule="auto"/>
        <w:ind w:left="0" w:right="0" w:firstLine="72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right"/>
        <w:tblLayout w:type="fixed"/>
      </w:tblPr>
      <w:tblGrid>
        <w:gridCol w:w="4397"/>
        <w:gridCol w:w="3835"/>
      </w:tblGrid>
      <w:tr>
        <w:trPr>
          <w:trHeight w:val="590"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580 Kč bez DPH</w:t>
            </w:r>
          </w:p>
        </w:tc>
      </w:tr>
      <w:tr>
        <w:trPr>
          <w:trHeight w:val="600"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970 Kč bez DPH</w:t>
            </w:r>
          </w:p>
        </w:tc>
      </w:tr>
    </w:tbl>
    <w:p>
      <w:pPr>
        <w:widowControl w:val="0"/>
        <w:spacing w:after="499" w:line="1" w:lineRule="exact"/>
      </w:pP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14"/>
        <w:keepNext w:val="0"/>
        <w:keepLines w:val="0"/>
        <w:widowControl w:val="0"/>
        <w:numPr>
          <w:ilvl w:val="0"/>
          <w:numId w:val="5"/>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4"/>
        <w:keepNext w:val="0"/>
        <w:keepLines w:val="0"/>
        <w:widowControl w:val="0"/>
        <w:numPr>
          <w:ilvl w:val="0"/>
          <w:numId w:val="5"/>
        </w:numPr>
        <w:shd w:val="clear" w:color="auto" w:fill="auto"/>
        <w:tabs>
          <w:tab w:pos="571" w:val="left"/>
        </w:tabs>
        <w:bidi w:val="0"/>
        <w:spacing w:before="0" w:line="271" w:lineRule="auto"/>
        <w:ind w:left="0" w:right="0" w:firstLine="0"/>
        <w:jc w:val="both"/>
      </w:pPr>
      <w:r>
        <w:rPr>
          <w:color w:val="000000"/>
          <w:spacing w:val="0"/>
          <w:w w:val="100"/>
          <w:position w:val="0"/>
          <w:shd w:val="clear" w:color="auto" w:fill="auto"/>
          <w:lang w:val="cs-CZ" w:eastAsia="cs-CZ" w:bidi="cs-CZ"/>
        </w:rPr>
        <w:t xml:space="preserve">Faktury budou vystaveny měsíčně v jednom vyhotovení a doručeny na adresu objednatele. Mimo povinných náležitostí dle zákona je TDS povinen uvádět na daňovém dokladu doslovný a přesný název akce </w:t>
      </w:r>
      <w:r>
        <w:rPr>
          <w:color w:val="000000"/>
          <w:spacing w:val="0"/>
          <w:w w:val="100"/>
          <w:position w:val="0"/>
          <w:shd w:val="clear" w:color="auto" w:fill="auto"/>
          <w:lang w:val="cs-CZ" w:eastAsia="cs-CZ" w:bidi="cs-CZ"/>
        </w:rPr>
        <w:t>nebo akcí, který je definován v ustanovení čl. 2 této smlouvy. Součástí faktury bude soupis počtu návštěv TDS v daném měsíci, odsouhlasený zástupcem objednatele.</w:t>
      </w:r>
    </w:p>
    <w:p>
      <w:pPr>
        <w:pStyle w:val="Style14"/>
        <w:keepNext w:val="0"/>
        <w:keepLines w:val="0"/>
        <w:widowControl w:val="0"/>
        <w:numPr>
          <w:ilvl w:val="0"/>
          <w:numId w:val="5"/>
        </w:numPr>
        <w:shd w:val="clear" w:color="auto" w:fill="auto"/>
        <w:tabs>
          <w:tab w:pos="572" w:val="left"/>
        </w:tabs>
        <w:bidi w:val="0"/>
        <w:spacing w:before="0" w:line="276"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4"/>
        <w:keepNext w:val="0"/>
        <w:keepLines w:val="0"/>
        <w:widowControl w:val="0"/>
        <w:numPr>
          <w:ilvl w:val="0"/>
          <w:numId w:val="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4"/>
        <w:keepNext w:val="0"/>
        <w:keepLines w:val="0"/>
        <w:widowControl w:val="0"/>
        <w:numPr>
          <w:ilvl w:val="0"/>
          <w:numId w:val="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4"/>
        <w:keepNext w:val="0"/>
        <w:keepLines w:val="0"/>
        <w:widowControl w:val="0"/>
        <w:numPr>
          <w:ilvl w:val="0"/>
          <w:numId w:val="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4"/>
        <w:keepNext w:val="0"/>
        <w:keepLines w:val="0"/>
        <w:widowControl w:val="0"/>
        <w:numPr>
          <w:ilvl w:val="0"/>
          <w:numId w:val="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4"/>
        <w:keepNext w:val="0"/>
        <w:keepLines w:val="0"/>
        <w:widowControl w:val="0"/>
        <w:numPr>
          <w:ilvl w:val="0"/>
          <w:numId w:val="5"/>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4"/>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Odpovědný TDS - Mosty a inženýrské konstrukce</w:t>
      </w:r>
    </w:p>
    <w:p>
      <w:pPr>
        <w:pStyle w:val="Style14"/>
        <w:keepNext w:val="0"/>
        <w:keepLines w:val="0"/>
        <w:widowControl w:val="0"/>
        <w:shd w:val="clear" w:color="auto" w:fill="auto"/>
        <w:bidi w:val="0"/>
        <w:spacing w:before="0" w:after="580" w:line="240" w:lineRule="auto"/>
        <w:ind w:left="1420" w:right="0" w:firstLine="0"/>
        <w:jc w:val="left"/>
      </w:pPr>
      <w:r>
        <w:rPr>
          <w:color w:val="000000"/>
          <w:spacing w:val="0"/>
          <w:w w:val="100"/>
          <w:position w:val="0"/>
          <w:shd w:val="clear" w:color="auto" w:fill="auto"/>
          <w:lang w:val="cs-CZ" w:eastAsia="cs-CZ" w:bidi="cs-CZ"/>
        </w:rPr>
        <w:t>(jméno, příjmení, titul, číslo autorizace)</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14"/>
        <w:keepNext w:val="0"/>
        <w:keepLines w:val="0"/>
        <w:widowControl w:val="0"/>
        <w:numPr>
          <w:ilvl w:val="0"/>
          <w:numId w:val="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1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br/>
        <w:t>Sankce</w:t>
      </w:r>
    </w:p>
    <w:p>
      <w:pPr>
        <w:pStyle w:val="Style14"/>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4"/>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14"/>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14"/>
        <w:keepNext w:val="0"/>
        <w:keepLines w:val="0"/>
        <w:widowControl w:val="0"/>
        <w:numPr>
          <w:ilvl w:val="0"/>
          <w:numId w:val="11"/>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14"/>
        <w:keepNext w:val="0"/>
        <w:keepLines w:val="0"/>
        <w:widowControl w:val="0"/>
        <w:numPr>
          <w:ilvl w:val="0"/>
          <w:numId w:val="13"/>
        </w:numPr>
        <w:shd w:val="clear" w:color="auto" w:fill="auto"/>
        <w:tabs>
          <w:tab w:pos="571"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14"/>
        <w:keepNext w:val="0"/>
        <w:keepLines w:val="0"/>
        <w:widowControl w:val="0"/>
        <w:numPr>
          <w:ilvl w:val="0"/>
          <w:numId w:val="13"/>
        </w:numPr>
        <w:shd w:val="clear" w:color="auto" w:fill="auto"/>
        <w:tabs>
          <w:tab w:pos="571"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14"/>
        <w:keepNext w:val="0"/>
        <w:keepLines w:val="0"/>
        <w:widowControl w:val="0"/>
        <w:numPr>
          <w:ilvl w:val="0"/>
          <w:numId w:val="13"/>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4"/>
        <w:keepNext w:val="0"/>
        <w:keepLines w:val="0"/>
        <w:widowControl w:val="0"/>
        <w:numPr>
          <w:ilvl w:val="0"/>
          <w:numId w:val="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TDS k zahájení činnosti.</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TDS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Objednatel TDS neodešle písemnou výzvu k zahájení činnosti </w:t>
      </w:r>
      <w:r>
        <w:rPr>
          <w:b/>
          <w:bCs/>
          <w:color w:val="000000"/>
          <w:spacing w:val="0"/>
          <w:w w:val="100"/>
          <w:position w:val="0"/>
          <w:shd w:val="clear" w:color="auto" w:fill="auto"/>
          <w:lang w:val="cs-CZ" w:eastAsia="cs-CZ" w:bidi="cs-CZ"/>
        </w:rPr>
        <w:t xml:space="preserve">ani do 30. 06. 2023, nenabude Smlouva účinnosti a bez dalšího tímto dnem pozbude i své platnosti. </w:t>
      </w:r>
      <w:r>
        <w:rPr>
          <w:color w:val="000000"/>
          <w:spacing w:val="0"/>
          <w:w w:val="100"/>
          <w:position w:val="0"/>
          <w:shd w:val="clear" w:color="auto" w:fill="auto"/>
          <w:lang w:val="cs-CZ" w:eastAsia="cs-CZ" w:bidi="cs-CZ"/>
        </w:rPr>
        <w:t>V takovém případě nevzniká TDS nárok na náhradu škody nebo ušlého zisku a s tímto vědomím TDS Smlouvu podepisuje.</w:t>
      </w:r>
    </w:p>
    <w:p>
      <w:pPr>
        <w:pStyle w:val="Style14"/>
        <w:keepNext w:val="0"/>
        <w:keepLines w:val="0"/>
        <w:widowControl w:val="0"/>
        <w:numPr>
          <w:ilvl w:val="0"/>
          <w:numId w:val="15"/>
        </w:numPr>
        <w:shd w:val="clear" w:color="auto" w:fill="auto"/>
        <w:tabs>
          <w:tab w:pos="711" w:val="left"/>
        </w:tabs>
        <w:bidi w:val="0"/>
        <w:spacing w:before="0" w:line="240" w:lineRule="auto"/>
        <w:ind w:left="0" w:right="0" w:firstLine="0"/>
        <w:jc w:val="both"/>
        <w:sectPr>
          <w:headerReference w:type="default" r:id="rId11"/>
          <w:footerReference w:type="default" r:id="rId12"/>
          <w:footnotePr>
            <w:pos w:val="pageBottom"/>
            <w:numFmt w:val="decimal"/>
            <w:numRestart w:val="continuous"/>
          </w:footnotePr>
          <w:pgSz w:w="12240" w:h="15840"/>
          <w:pgMar w:top="1891" w:left="1153" w:right="1290" w:bottom="1349" w:header="0" w:footer="3" w:gutter="0"/>
          <w:cols w:space="720"/>
          <w:noEndnote/>
          <w:rtlGutter w:val="0"/>
          <w:docGrid w:linePitch="360"/>
        </w:sectPr>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pgSz w:w="12240" w:h="15840"/>
          <w:pgMar w:top="1295" w:left="1157" w:right="1296" w:bottom="1012" w:header="0" w:footer="3" w:gutter="0"/>
          <w:cols w:space="720"/>
          <w:noEndnote/>
          <w:rtlGutter w:val="0"/>
          <w:docGrid w:linePitch="360"/>
        </w:sectPr>
      </w:pPr>
    </w:p>
    <w:tbl>
      <w:tblPr>
        <w:tblOverlap w:val="never"/>
        <w:jc w:val="left"/>
        <w:tblLayout w:type="fixed"/>
      </w:tblPr>
      <w:tblGrid>
        <w:gridCol w:w="1790"/>
        <w:gridCol w:w="7546"/>
      </w:tblGrid>
      <w:tr>
        <w:trPr>
          <w:trHeight w:val="677" w:hRule="exact"/>
        </w:trPr>
        <w:tc>
          <w:tcPr>
            <w:tcBorders/>
            <w:shd w:val="clear" w:color="auto" w:fill="FFFFFF"/>
            <w:vAlign w:val="bottom"/>
          </w:tcPr>
          <w:p>
            <w:pPr>
              <w:pStyle w:val="Style20"/>
              <w:keepNext w:val="0"/>
              <w:keepLines w:val="0"/>
              <w:framePr w:w="9336" w:h="677" w:hSpace="19" w:vSpace="298" w:wrap="none" w:vAnchor="text" w:hAnchor="page" w:x="1177" w:y="319"/>
              <w:widowControl w:val="0"/>
              <w:shd w:val="clear" w:color="auto" w:fill="auto"/>
              <w:bidi w:val="0"/>
              <w:spacing w:before="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p>
            <w:pPr>
              <w:pStyle w:val="Style20"/>
              <w:keepNext w:val="0"/>
              <w:keepLines w:val="0"/>
              <w:framePr w:w="9336" w:h="677" w:hSpace="19" w:vSpace="298" w:wrap="none" w:vAnchor="text" w:hAnchor="page" w:x="1177" w:y="319"/>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c>
        <w:tc>
          <w:tcPr>
            <w:tcBorders/>
            <w:shd w:val="clear" w:color="auto" w:fill="FFFFFF"/>
            <w:vAlign w:val="bottom"/>
          </w:tcPr>
          <w:p>
            <w:pPr>
              <w:pStyle w:val="Style20"/>
              <w:keepNext w:val="0"/>
              <w:keepLines w:val="0"/>
              <w:framePr w:w="9336" w:h="677" w:hSpace="19" w:vSpace="298" w:wrap="none" w:vAnchor="text" w:hAnchor="page" w:x="1177" w:y="319"/>
              <w:widowControl w:val="0"/>
              <w:shd w:val="clear" w:color="auto" w:fill="auto"/>
              <w:bidi w:val="0"/>
              <w:spacing w:before="0" w:after="120" w:line="240" w:lineRule="auto"/>
              <w:ind w:left="0" w:right="0" w:firstLine="320"/>
              <w:jc w:val="left"/>
            </w:pPr>
            <w:r>
              <w:rPr>
                <w:b/>
                <w:bCs/>
                <w:color w:val="000000"/>
                <w:spacing w:val="0"/>
                <w:w w:val="100"/>
                <w:position w:val="0"/>
                <w:shd w:val="clear" w:color="auto" w:fill="auto"/>
                <w:lang w:val="cs-CZ" w:eastAsia="cs-CZ" w:bidi="cs-CZ"/>
              </w:rPr>
              <w:t>Kalkulace odměny TDS</w:t>
            </w:r>
          </w:p>
          <w:p>
            <w:pPr>
              <w:pStyle w:val="Style20"/>
              <w:keepNext w:val="0"/>
              <w:keepLines w:val="0"/>
              <w:framePr w:w="9336" w:h="677" w:hSpace="19" w:vSpace="298" w:wrap="none" w:vAnchor="text" w:hAnchor="page" w:x="1177" w:y="319"/>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Údaje, které jsou součástí ujednání a nebudou zveřejněny v Registru smluv</w:t>
            </w:r>
          </w:p>
        </w:tc>
      </w:tr>
    </w:tbl>
    <w:p>
      <w:pPr>
        <w:framePr w:w="9336" w:h="677" w:hSpace="19" w:vSpace="298" w:wrap="none" w:vAnchor="text" w:hAnchor="page" w:x="1177" w:y="319"/>
        <w:widowControl w:val="0"/>
        <w:spacing w:line="1" w:lineRule="exact"/>
      </w:pPr>
    </w:p>
    <w:p>
      <w:pPr>
        <w:pStyle w:val="Style17"/>
        <w:keepNext w:val="0"/>
        <w:keepLines w:val="0"/>
        <w:framePr w:w="744" w:h="274" w:wrap="none" w:vAnchor="text" w:hAnchor="page" w:x="115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Přílohy:</w:t>
      </w:r>
    </w:p>
    <w:p>
      <w:pPr>
        <w:pStyle w:val="Style14"/>
        <w:keepNext w:val="0"/>
        <w:keepLines w:val="0"/>
        <w:framePr w:w="9787" w:h="734" w:wrap="none" w:vAnchor="text" w:hAnchor="page" w:x="1158" w:y="12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4"/>
        <w:keepNext w:val="0"/>
        <w:keepLines w:val="0"/>
        <w:framePr w:w="518" w:h="269" w:wrap="none" w:vAnchor="text" w:hAnchor="page" w:x="1158"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p>
      <w:pPr>
        <w:pStyle w:val="Style14"/>
        <w:keepNext w:val="0"/>
        <w:keepLines w:val="0"/>
        <w:framePr w:w="1085" w:h="274" w:wrap="none" w:vAnchor="text" w:hAnchor="page" w:x="6116"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14"/>
        <w:keepNext w:val="0"/>
        <w:keepLines w:val="0"/>
        <w:framePr w:w="2808" w:h="274" w:wrap="none" w:vAnchor="text" w:hAnchor="page" w:x="1158" w:y="33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Moravanech </w:t>
      </w:r>
      <w:r>
        <w:rPr>
          <w:color w:val="000000"/>
          <w:spacing w:val="0"/>
          <w:w w:val="100"/>
          <w:position w:val="0"/>
          <w:shd w:val="clear" w:color="auto" w:fill="auto"/>
          <w:lang w:val="cs-CZ" w:eastAsia="cs-CZ" w:bidi="cs-CZ"/>
        </w:rPr>
        <w:t>dne: viz podpis</w:t>
      </w:r>
    </w:p>
    <w:p>
      <w:pPr>
        <w:pStyle w:val="Style14"/>
        <w:keepNext w:val="0"/>
        <w:keepLines w:val="0"/>
        <w:framePr w:w="2266" w:h="274" w:wrap="none" w:vAnchor="text" w:hAnchor="page" w:x="5406" w:y="33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p>
      <w:pPr>
        <w:pStyle w:val="Style29"/>
        <w:keepNext w:val="0"/>
        <w:keepLines w:val="0"/>
        <w:framePr w:w="2064" w:h="408" w:wrap="none" w:vAnchor="text" w:hAnchor="page" w:x="1268" w:y="5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Albert Jurkovič, jednatel</w:t>
      </w:r>
    </w:p>
    <w:p>
      <w:pPr>
        <w:pStyle w:val="Style29"/>
        <w:keepNext w:val="0"/>
        <w:keepLines w:val="0"/>
        <w:framePr w:w="2064" w:h="408" w:wrap="none" w:vAnchor="text" w:hAnchor="page" w:x="1268" w:y="5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IMDS s.r.o</w:t>
      </w:r>
    </w:p>
    <w:p>
      <w:pPr>
        <w:pStyle w:val="Style29"/>
        <w:keepNext w:val="0"/>
        <w:keepLines w:val="0"/>
        <w:framePr w:w="2923" w:h="600" w:wrap="none" w:vAnchor="text" w:hAnchor="page" w:x="6126" w:y="5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p>
      <w:pPr>
        <w:pStyle w:val="Style29"/>
        <w:keepNext w:val="0"/>
        <w:keepLines w:val="0"/>
        <w:framePr w:w="2923" w:h="600" w:wrap="none" w:vAnchor="text" w:hAnchor="page" w:x="6126" w:y="5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footnotePr>
            <w:pos w:val="pageBottom"/>
            <w:numFmt w:val="decimal"/>
            <w:numRestart w:val="continuous"/>
          </w:footnotePr>
          <w:type w:val="continuous"/>
          <w:pgSz w:w="12240" w:h="15840"/>
          <w:pgMar w:top="1295" w:left="1157" w:right="1296" w:bottom="1012" w:header="0" w:footer="3" w:gutter="0"/>
          <w:cols w:space="720"/>
          <w:noEndnote/>
          <w:rtlGutter w:val="0"/>
          <w:docGrid w:linePitch="360"/>
        </w:sectPr>
      </w:pPr>
    </w:p>
    <w:p>
      <w:pPr>
        <w:pStyle w:val="Style14"/>
        <w:keepNext w:val="0"/>
        <w:keepLines w:val="0"/>
        <w:widowControl w:val="0"/>
        <w:shd w:val="clear" w:color="auto" w:fill="auto"/>
        <w:bidi w:val="0"/>
        <w:spacing w:before="0" w:after="440" w:line="240" w:lineRule="auto"/>
        <w:ind w:left="8680" w:right="0" w:firstLine="0"/>
        <w:jc w:val="left"/>
      </w:pPr>
      <w:r>
        <w:rPr>
          <w:b/>
          <w:bCs/>
          <w:color w:val="000000"/>
          <w:spacing w:val="0"/>
          <w:w w:val="100"/>
          <w:position w:val="0"/>
          <w:shd w:val="clear" w:color="auto" w:fill="auto"/>
          <w:lang w:val="cs-CZ" w:eastAsia="cs-CZ" w:bidi="cs-CZ"/>
        </w:rPr>
        <w:t>Příloha č. 2</w:t>
      </w:r>
    </w:p>
    <w:p>
      <w:pPr>
        <w:pStyle w:val="Style2"/>
        <w:keepNext/>
        <w:keepLines/>
        <w:widowControl w:val="0"/>
        <w:shd w:val="clear" w:color="auto" w:fill="auto"/>
        <w:bidi w:val="0"/>
        <w:spacing w:before="0" w:after="82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Údaje, které jsou součástí ujednání a nebudou zveřejněny v Registru smluv:</w:t>
      </w:r>
      <w:bookmarkEnd w:id="6"/>
      <w:bookmarkEnd w:id="7"/>
    </w:p>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14"/>
        <w:keepNext w:val="0"/>
        <w:keepLines w:val="0"/>
        <w:widowControl w:val="0"/>
        <w:shd w:val="clear" w:color="auto" w:fill="auto"/>
        <w:bidi w:val="0"/>
        <w:spacing w:before="0" w:after="2080" w:line="240" w:lineRule="auto"/>
        <w:ind w:left="0" w:right="0" w:firstLine="0"/>
        <w:jc w:val="left"/>
      </w:pPr>
      <w:r>
        <w:rPr>
          <w:color w:val="000000"/>
          <w:spacing w:val="0"/>
          <w:w w:val="100"/>
          <w:position w:val="0"/>
          <w:shd w:val="clear" w:color="auto" w:fill="auto"/>
          <w:lang w:val="cs-CZ" w:eastAsia="cs-CZ" w:bidi="cs-CZ"/>
        </w:rPr>
        <w:t>Technických:</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bl>
      <w:tblPr>
        <w:tblOverlap w:val="never"/>
        <w:jc w:val="left"/>
        <w:tblLayout w:type="fixed"/>
      </w:tblPr>
      <w:tblGrid>
        <w:gridCol w:w="1594"/>
        <w:gridCol w:w="2419"/>
      </w:tblGrid>
      <w:tr>
        <w:trPr>
          <w:trHeight w:val="46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IMDS s.r.o.</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Fio banka, a.s; č.ú.:</w:t>
            </w:r>
          </w:p>
        </w:tc>
      </w:tr>
    </w:tbl>
    <w:p>
      <w:pPr>
        <w:widowControl w:val="0"/>
        <w:spacing w:after="439" w:line="1" w:lineRule="exact"/>
      </w:pP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Osoby pověřené jednat jménem zhotovitele ve věcech smluvních: </w:t>
      </w:r>
      <w:r>
        <w:rPr>
          <w:color w:val="000000"/>
          <w:spacing w:val="0"/>
          <w:w w:val="100"/>
          <w:position w:val="0"/>
          <w:shd w:val="clear" w:color="auto" w:fill="auto"/>
          <w:lang w:val="cs-CZ" w:eastAsia="cs-CZ" w:bidi="cs-CZ"/>
        </w:rPr>
        <w:t>technických:</w:t>
      </w:r>
    </w:p>
    <w:p>
      <w:pPr>
        <w:pStyle w:val="Style1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1896" w:left="1157" w:right="1291" w:bottom="1896" w:header="0" w:footer="3" w:gutter="0"/>
          <w:cols w:space="720"/>
          <w:noEndnote/>
          <w:rtlGutter w:val="0"/>
          <w:docGrid w:linePitch="360"/>
        </w:sectPr>
      </w:pPr>
      <w:r>
        <w:rPr>
          <w:color w:val="000000"/>
          <w:spacing w:val="0"/>
          <w:w w:val="100"/>
          <w:position w:val="0"/>
          <w:shd w:val="clear" w:color="auto" w:fill="auto"/>
          <w:lang w:val="cs-CZ" w:eastAsia="cs-CZ" w:bidi="cs-CZ"/>
        </w:rPr>
        <w:t>Autorizovaná osoba:</w:t>
      </w:r>
    </w:p>
    <w:tbl>
      <w:tblPr>
        <w:tblOverlap w:val="never"/>
        <w:jc w:val="left"/>
        <w:tblLayout w:type="fixed"/>
      </w:tblPr>
      <w:tblGrid>
        <w:gridCol w:w="504"/>
        <w:gridCol w:w="5405"/>
        <w:gridCol w:w="1397"/>
        <w:gridCol w:w="1522"/>
      </w:tblGrid>
      <w:tr>
        <w:trPr>
          <w:trHeight w:val="466" w:hRule="exact"/>
        </w:trPr>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509" w:hRule="exact"/>
        </w:trPr>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Kalkulace odměny TDS pro dopravní / pozemní stavby</w:t>
            </w:r>
          </w:p>
        </w:tc>
      </w:tr>
      <w:tr>
        <w:trPr>
          <w:trHeight w:val="475" w:hRule="exact"/>
        </w:trPr>
        <w:tc>
          <w:tcPr>
            <w:gridSpan w:val="4"/>
            <w:tcBorders>
              <w:top w:val="single" w:sz="4"/>
              <w:left w:val="single" w:sz="4"/>
              <w:righ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akce: "III/35433 Olší nad Oslavou - most ev. č. 35433-2"</w:t>
            </w:r>
          </w:p>
        </w:tc>
      </w:tr>
      <w:tr>
        <w:trPr>
          <w:trHeight w:val="336"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 bez DPH</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00"/>
              <w:jc w:val="left"/>
              <w:rPr>
                <w:sz w:val="14"/>
                <w:szCs w:val="14"/>
              </w:rPr>
            </w:pPr>
            <w:r>
              <w:rPr>
                <w:b/>
                <w:bCs/>
                <w:i/>
                <w:iCs/>
                <w:color w:val="000000"/>
                <w:spacing w:val="0"/>
                <w:w w:val="100"/>
                <w:position w:val="0"/>
                <w:sz w:val="14"/>
                <w:szCs w:val="14"/>
                <w:shd w:val="clear" w:color="auto" w:fill="auto"/>
                <w:lang w:val="cs-CZ" w:eastAsia="cs-CZ" w:bidi="cs-CZ"/>
              </w:rPr>
              <w:t>celkem</w:t>
            </w:r>
          </w:p>
        </w:tc>
      </w:tr>
      <w:tr>
        <w:trPr>
          <w:trHeight w:val="437" w:hRule="exact"/>
        </w:trPr>
        <w:tc>
          <w:tcPr>
            <w:gridSpan w:val="2"/>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20"/>
              <w:keepNext w:val="0"/>
              <w:keepLines w:val="0"/>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15 000,00 Kč</w:t>
            </w:r>
          </w:p>
        </w:tc>
      </w:tr>
      <w:tr>
        <w:trPr>
          <w:trHeight w:val="72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20"/>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10 000,00 Kč</w:t>
            </w:r>
          </w:p>
        </w:tc>
      </w:tr>
      <w:tr>
        <w:trPr>
          <w:trHeight w:val="566" w:hRule="exact"/>
        </w:trPr>
        <w:tc>
          <w:tcPr>
            <w:gridSpan w:val="2"/>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TDS před zahájením a po dokončení stavby celkem</w:t>
            </w:r>
          </w:p>
        </w:tc>
        <w:tc>
          <w:tcPr>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25 000,00 Kč</w:t>
            </w:r>
          </w:p>
        </w:tc>
      </w:tr>
      <w:tr>
        <w:trPr>
          <w:trHeight w:val="725" w:hRule="exact"/>
        </w:trPr>
        <w:tc>
          <w:tcPr>
            <w:gridSpan w:val="2"/>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TDS - práce spojené s prováděním stavby</w:t>
            </w:r>
          </w:p>
          <w:p>
            <w:pPr>
              <w:pStyle w:val="Style20"/>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1"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 a 1 h o d in u (60 minut)</w:t>
            </w:r>
          </w:p>
        </w:tc>
        <w:tc>
          <w:tcPr>
            <w:tcBorders>
              <w:top w:val="single" w:sz="4"/>
              <w:left w:val="single" w:sz="4"/>
              <w:righ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18 hodin *</w:t>
            </w:r>
          </w:p>
        </w:tc>
      </w:tr>
      <w:tr>
        <w:trPr>
          <w:trHeight w:val="816"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v kanceláři</w:t>
            </w:r>
          </w:p>
          <w:p>
            <w:pPr>
              <w:pStyle w:val="Style20"/>
              <w:keepNext w:val="0"/>
              <w:keepLines w:val="0"/>
              <w:widowControl w:val="0"/>
              <w:numPr>
                <w:ilvl w:val="0"/>
                <w:numId w:val="17"/>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20"/>
              <w:keepNext w:val="0"/>
              <w:keepLines w:val="0"/>
              <w:widowControl w:val="0"/>
              <w:numPr>
                <w:ilvl w:val="0"/>
                <w:numId w:val="17"/>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hodina/týden</w:t>
            </w:r>
          </w:p>
          <w:p>
            <w:pPr>
              <w:pStyle w:val="Style20"/>
              <w:keepNext w:val="0"/>
              <w:keepLines w:val="0"/>
              <w:widowControl w:val="0"/>
              <w:numPr>
                <w:ilvl w:val="0"/>
                <w:numId w:val="17"/>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18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580,00 Kč</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10 440, 0 0 Kč</w:t>
            </w:r>
          </w:p>
        </w:tc>
      </w:tr>
      <w:tr>
        <w:trPr>
          <w:trHeight w:val="52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top"/>
          </w:tcPr>
          <w:p>
            <w:pPr>
              <w:pStyle w:val="Style20"/>
              <w:keepNext w:val="0"/>
              <w:keepLines w:val="0"/>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na staveništi</w:t>
            </w:r>
          </w:p>
          <w:p>
            <w:pPr>
              <w:pStyle w:val="Style20"/>
              <w:keepNext w:val="0"/>
              <w:keepLines w:val="0"/>
              <w:widowControl w:val="0"/>
              <w:numPr>
                <w:ilvl w:val="0"/>
                <w:numId w:val="19"/>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20"/>
              <w:keepNext w:val="0"/>
              <w:keepLines w:val="0"/>
              <w:widowControl w:val="0"/>
              <w:numPr>
                <w:ilvl w:val="0"/>
                <w:numId w:val="19"/>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2 návštěvy/týden á 3 hodiny, celkem 18 týdnů</w:t>
            </w:r>
          </w:p>
          <w:p>
            <w:pPr>
              <w:pStyle w:val="Style20"/>
              <w:keepNext w:val="0"/>
              <w:keepLines w:val="0"/>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(vzorec pro výpočet hodin: </w:t>
            </w:r>
            <w:r>
              <w:rPr>
                <w:b/>
                <w:bCs/>
                <w:i/>
                <w:iCs/>
                <w:color w:val="000000"/>
                <w:spacing w:val="0"/>
                <w:w w:val="100"/>
                <w:position w:val="0"/>
                <w:sz w:val="14"/>
                <w:szCs w:val="14"/>
                <w:shd w:val="clear" w:color="auto" w:fill="auto"/>
                <w:lang w:val="cs-CZ" w:eastAsia="cs-CZ" w:bidi="cs-CZ"/>
              </w:rPr>
              <w:t xml:space="preserve">2 </w:t>
            </w:r>
            <w:r>
              <w:rPr>
                <w:i/>
                <w:iCs/>
                <w:color w:val="000000"/>
                <w:spacing w:val="0"/>
                <w:w w:val="100"/>
                <w:position w:val="0"/>
                <w:sz w:val="14"/>
                <w:szCs w:val="14"/>
                <w:shd w:val="clear" w:color="auto" w:fill="auto"/>
                <w:lang w:val="cs-CZ" w:eastAsia="cs-CZ" w:bidi="cs-CZ"/>
              </w:rPr>
              <w:t xml:space="preserve">návštěvy x </w:t>
            </w:r>
            <w:r>
              <w:rPr>
                <w:b/>
                <w:bCs/>
                <w:i/>
                <w:iCs/>
                <w:color w:val="000000"/>
                <w:spacing w:val="0"/>
                <w:w w:val="100"/>
                <w:position w:val="0"/>
                <w:sz w:val="14"/>
                <w:szCs w:val="14"/>
                <w:shd w:val="clear" w:color="auto" w:fill="auto"/>
                <w:lang w:val="cs-CZ" w:eastAsia="cs-CZ" w:bidi="cs-CZ"/>
              </w:rPr>
              <w:t xml:space="preserve">3 </w:t>
            </w:r>
            <w:r>
              <w:rPr>
                <w:i/>
                <w:iCs/>
                <w:color w:val="000000"/>
                <w:spacing w:val="0"/>
                <w:w w:val="100"/>
                <w:position w:val="0"/>
                <w:sz w:val="14"/>
                <w:szCs w:val="14"/>
                <w:shd w:val="clear" w:color="auto" w:fill="auto"/>
                <w:lang w:val="cs-CZ" w:eastAsia="cs-CZ" w:bidi="cs-CZ"/>
              </w:rPr>
              <w:t xml:space="preserve">hod. výkonu TDS x 18 týdnů = 108 </w:t>
            </w:r>
            <w:r>
              <w:rPr>
                <w:b/>
                <w:bCs/>
                <w:i/>
                <w:iCs/>
                <w:color w:val="000000"/>
                <w:spacing w:val="0"/>
                <w:w w:val="100"/>
                <w:position w:val="0"/>
                <w:sz w:val="14"/>
                <w:szCs w:val="14"/>
                <w:shd w:val="clear" w:color="auto" w:fill="auto"/>
                <w:lang w:val="cs-CZ" w:eastAsia="cs-CZ" w:bidi="cs-CZ"/>
              </w:rPr>
              <w:t xml:space="preserve">hodin výkonu TDS celkem </w:t>
            </w:r>
            <w:r>
              <w:rPr>
                <w:i/>
                <w:iCs/>
                <w:color w:val="000000"/>
                <w:spacing w:val="0"/>
                <w:w w:val="100"/>
                <w:position w:val="0"/>
                <w:sz w:val="14"/>
                <w:szCs w:val="14"/>
                <w:shd w:val="clear" w:color="auto" w:fill="auto"/>
                <w:lang w:val="cs-CZ" w:eastAsia="cs-CZ" w:bidi="cs-CZ"/>
              </w:rPr>
              <w:t>)</w:t>
            </w:r>
          </w:p>
          <w:p>
            <w:pPr>
              <w:pStyle w:val="Style20"/>
              <w:keepNext w:val="0"/>
              <w:keepLines w:val="0"/>
              <w:widowControl w:val="0"/>
              <w:shd w:val="clear" w:color="auto" w:fill="auto"/>
              <w:bidi w:val="0"/>
              <w:spacing w:before="0" w:after="0" w:line="271"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970,00 Kč</w:t>
            </w:r>
          </w:p>
        </w:tc>
        <w:tc>
          <w:tcPr>
            <w:tcBorders>
              <w:top w:val="single" w:sz="4"/>
              <w:left w:val="single" w:sz="4"/>
              <w:righ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108 h od i n *</w:t>
            </w:r>
          </w:p>
        </w:tc>
      </w:tr>
      <w:tr>
        <w:trPr>
          <w:trHeight w:val="970" w:hRule="exact"/>
        </w:trPr>
        <w:tc>
          <w:tcPr>
            <w:vMerge/>
            <w:tcBorders>
              <w:left w:val="single" w:sz="4"/>
            </w:tcBorders>
            <w:shd w:val="clear" w:color="auto" w:fill="FFFFFF"/>
            <w:vAlign w:val="center"/>
          </w:tcPr>
          <w:p>
            <w:pPr/>
          </w:p>
        </w:tc>
        <w:tc>
          <w:tcPr>
            <w:vMerge/>
            <w:tcBorders>
              <w:left w:val="single" w:sz="4"/>
            </w:tcBorders>
            <w:shd w:val="clear" w:color="auto" w:fill="FFFF00"/>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4"/>
                <w:szCs w:val="14"/>
              </w:rPr>
            </w:pPr>
            <w:r>
              <w:rPr>
                <w:color w:val="000000"/>
                <w:spacing w:val="0"/>
                <w:w w:val="100"/>
                <w:position w:val="0"/>
                <w:sz w:val="14"/>
                <w:szCs w:val="14"/>
                <w:shd w:val="clear" w:color="auto" w:fill="auto"/>
                <w:lang w:val="cs-CZ" w:eastAsia="cs-CZ" w:bidi="cs-CZ"/>
              </w:rPr>
              <w:t>104 760,00 Kč</w:t>
            </w:r>
          </w:p>
        </w:tc>
      </w:tr>
      <w:tr>
        <w:trPr>
          <w:trHeight w:val="485" w:hRule="exact"/>
        </w:trPr>
        <w:tc>
          <w:tcPr>
            <w:gridSpan w:val="2"/>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TDS při provádění stavby celkem</w:t>
            </w:r>
          </w:p>
        </w:tc>
        <w:tc>
          <w:tcPr>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580"/>
              <w:jc w:val="both"/>
              <w:rPr>
                <w:sz w:val="14"/>
                <w:szCs w:val="14"/>
              </w:rPr>
            </w:pPr>
            <w:r>
              <w:rPr>
                <w:b/>
                <w:bCs/>
                <w:color w:val="000000"/>
                <w:spacing w:val="0"/>
                <w:w w:val="100"/>
                <w:position w:val="0"/>
                <w:sz w:val="14"/>
                <w:szCs w:val="14"/>
                <w:shd w:val="clear" w:color="auto" w:fill="auto"/>
                <w:lang w:val="cs-CZ" w:eastAsia="cs-CZ" w:bidi="cs-CZ"/>
              </w:rPr>
              <w:t>115 200,00 Kč</w:t>
            </w:r>
          </w:p>
        </w:tc>
      </w:tr>
      <w:tr>
        <w:trPr>
          <w:trHeight w:val="480" w:hRule="exact"/>
        </w:trPr>
        <w:tc>
          <w:tcPr>
            <w:gridSpan w:val="2"/>
            <w:tcBorders>
              <w:top w:val="single" w:sz="4"/>
              <w:left w:val="single" w:sz="4"/>
            </w:tcBorders>
            <w:shd w:val="clear" w:color="auto" w:fill="D1D1D1"/>
            <w:vAlign w:val="bottom"/>
          </w:tcPr>
          <w:p>
            <w:pPr>
              <w:pStyle w:val="Style20"/>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580"/>
              <w:jc w:val="both"/>
              <w:rPr>
                <w:sz w:val="14"/>
                <w:szCs w:val="14"/>
              </w:rPr>
            </w:pPr>
            <w:r>
              <w:rPr>
                <w:b/>
                <w:bCs/>
                <w:color w:val="000000"/>
                <w:spacing w:val="0"/>
                <w:w w:val="100"/>
                <w:position w:val="0"/>
                <w:sz w:val="14"/>
                <w:szCs w:val="14"/>
                <w:shd w:val="clear" w:color="auto" w:fill="auto"/>
                <w:lang w:val="cs-CZ" w:eastAsia="cs-CZ" w:bidi="cs-CZ"/>
              </w:rPr>
              <w:t>140 200,00 Kč</w:t>
            </w:r>
          </w:p>
        </w:tc>
      </w:tr>
      <w:tr>
        <w:trPr>
          <w:trHeight w:val="451" w:hRule="exact"/>
        </w:trPr>
        <w:tc>
          <w:tcPr>
            <w:gridSpan w:val="2"/>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29 442,00 Kč</w:t>
            </w:r>
          </w:p>
        </w:tc>
      </w:tr>
      <w:tr>
        <w:trPr>
          <w:trHeight w:val="614" w:hRule="exact"/>
        </w:trPr>
        <w:tc>
          <w:tcPr>
            <w:gridSpan w:val="2"/>
            <w:tcBorders>
              <w:top w:val="single" w:sz="4"/>
              <w:left w:val="single" w:sz="4"/>
              <w:bottom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0"/>
              <w:keepNext w:val="0"/>
              <w:keepLines w:val="0"/>
              <w:widowControl w:val="0"/>
              <w:shd w:val="clear" w:color="auto" w:fill="auto"/>
              <w:bidi w:val="0"/>
              <w:spacing w:before="0" w:after="0" w:line="240" w:lineRule="auto"/>
              <w:ind w:left="0" w:right="0" w:firstLine="580"/>
              <w:jc w:val="both"/>
              <w:rPr>
                <w:sz w:val="14"/>
                <w:szCs w:val="14"/>
              </w:rPr>
            </w:pPr>
            <w:r>
              <w:rPr>
                <w:b/>
                <w:bCs/>
                <w:color w:val="000000"/>
                <w:spacing w:val="0"/>
                <w:w w:val="100"/>
                <w:position w:val="0"/>
                <w:sz w:val="14"/>
                <w:szCs w:val="14"/>
                <w:shd w:val="clear" w:color="auto" w:fill="auto"/>
                <w:lang w:val="cs-CZ" w:eastAsia="cs-CZ" w:bidi="cs-CZ"/>
              </w:rPr>
              <w:t>169 642,00 Kč</w:t>
            </w:r>
          </w:p>
        </w:tc>
      </w:tr>
    </w:tbl>
    <w:p>
      <w:pPr>
        <w:widowControl w:val="0"/>
        <w:spacing w:after="299" w:line="1" w:lineRule="exact"/>
      </w:pPr>
    </w:p>
    <w:p>
      <w:pPr>
        <w:pStyle w:val="Style38"/>
        <w:keepNext w:val="0"/>
        <w:keepLines w:val="0"/>
        <w:widowControl w:val="0"/>
        <w:shd w:val="clear" w:color="auto" w:fill="auto"/>
        <w:bidi w:val="0"/>
        <w:spacing w:before="0" w:after="360" w:line="240" w:lineRule="auto"/>
        <w:ind w:left="0" w:right="0" w:firstLine="50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38"/>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8"/>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8"/>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8"/>
        <w:keepNext w:val="0"/>
        <w:keepLines w:val="0"/>
        <w:widowControl w:val="0"/>
        <w:shd w:val="clear" w:color="auto" w:fill="auto"/>
        <w:bidi w:val="0"/>
        <w:spacing w:before="0" w:after="87"/>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8"/>
        <w:keepNext w:val="0"/>
        <w:keepLines w:val="0"/>
        <w:widowControl w:val="0"/>
        <w:pBdr>
          <w:top w:val="single" w:sz="0" w:space="3" w:color="FFFF00"/>
          <w:left w:val="single" w:sz="0" w:space="0" w:color="FFFF00"/>
          <w:bottom w:val="single" w:sz="0" w:space="4" w:color="FFFF00"/>
          <w:right w:val="single" w:sz="0" w:space="0" w:color="FFFF00"/>
        </w:pBdr>
        <w:shd w:val="clear" w:color="auto" w:fill="FFFF00"/>
        <w:bidi w:val="0"/>
        <w:spacing w:before="0" w:after="223" w:line="271" w:lineRule="auto"/>
        <w:ind w:left="0" w:right="0" w:firstLine="0"/>
        <w:jc w:val="both"/>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18 hodin v kanceláři a 108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sectPr>
      <w:headerReference w:type="default" r:id="rId13"/>
      <w:footerReference w:type="default" r:id="rId14"/>
      <w:footnotePr>
        <w:pos w:val="pageBottom"/>
        <w:numFmt w:val="decimal"/>
        <w:numRestart w:val="continuous"/>
      </w:footnotePr>
      <w:pgSz w:w="12240" w:h="15840"/>
      <w:pgMar w:top="828" w:left="1166" w:right="1281" w:bottom="828" w:header="400" w:footer="40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755650</wp:posOffset>
              </wp:positionH>
              <wp:positionV relativeFrom="page">
                <wp:posOffset>9479280</wp:posOffset>
              </wp:positionV>
              <wp:extent cx="2593975" cy="213360"/>
              <wp:wrapNone/>
              <wp:docPr id="7" name="Shape 7"/>
              <a:graphic xmlns:a="http://schemas.openxmlformats.org/drawingml/2006/main">
                <a:graphicData uri="http://schemas.microsoft.com/office/word/2010/wordprocessingShape">
                  <wps:wsp>
                    <wps:cNvSpPr txBox="1"/>
                    <wps:spPr>
                      <a:xfrm>
                        <a:ext cx="2593975"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wps:txbx>
                    <wps:bodyPr wrap="none" lIns="0" tIns="0" rIns="0" bIns="0">
                      <a:spAutoFit/>
                    </wps:bodyPr>
                  </wps:wsp>
                </a:graphicData>
              </a:graphic>
            </wp:anchor>
          </w:drawing>
        </mc:Choice>
        <mc:Fallback>
          <w:pict>
            <v:shape id="_x0000_s1033" type="#_x0000_t202" style="position:absolute;margin-left:59.5pt;margin-top:746.39999999999998pt;width:204.25pt;height:16.8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5925185</wp:posOffset>
              </wp:positionH>
              <wp:positionV relativeFrom="page">
                <wp:posOffset>9479280</wp:posOffset>
              </wp:positionV>
              <wp:extent cx="594360" cy="94615"/>
              <wp:wrapNone/>
              <wp:docPr id="9" name="Shape 9"/>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5" type="#_x0000_t202" style="position:absolute;margin-left:466.55000000000001pt;margin-top:746.39999999999998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11" name="Shape 11"/>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755650</wp:posOffset>
              </wp:positionH>
              <wp:positionV relativeFrom="page">
                <wp:posOffset>9479280</wp:posOffset>
              </wp:positionV>
              <wp:extent cx="2593975" cy="213360"/>
              <wp:wrapNone/>
              <wp:docPr id="15" name="Shape 15"/>
              <a:graphic xmlns:a="http://schemas.openxmlformats.org/drawingml/2006/main">
                <a:graphicData uri="http://schemas.microsoft.com/office/word/2010/wordprocessingShape">
                  <wps:wsp>
                    <wps:cNvSpPr txBox="1"/>
                    <wps:spPr>
                      <a:xfrm>
                        <a:ext cx="2593975"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wps:txbx>
                    <wps:bodyPr wrap="none" lIns="0" tIns="0" rIns="0" bIns="0">
                      <a:spAutoFit/>
                    </wps:bodyPr>
                  </wps:wsp>
                </a:graphicData>
              </a:graphic>
            </wp:anchor>
          </w:drawing>
        </mc:Choice>
        <mc:Fallback>
          <w:pict>
            <v:shape id="_x0000_s1041" type="#_x0000_t202" style="position:absolute;margin-left:59.5pt;margin-top:746.39999999999998pt;width:204.25pt;height:16.80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5925185</wp:posOffset>
              </wp:positionH>
              <wp:positionV relativeFrom="page">
                <wp:posOffset>9479280</wp:posOffset>
              </wp:positionV>
              <wp:extent cx="594360" cy="94615"/>
              <wp:wrapNone/>
              <wp:docPr id="17" name="Shape 17"/>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3" type="#_x0000_t202" style="position:absolute;margin-left:466.55000000000001pt;margin-top:746.39999999999998pt;width:46.799999999999997pt;height:7.45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19" name="Shape 19"/>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755650</wp:posOffset>
              </wp:positionH>
              <wp:positionV relativeFrom="page">
                <wp:posOffset>9479280</wp:posOffset>
              </wp:positionV>
              <wp:extent cx="2593975" cy="213360"/>
              <wp:wrapNone/>
              <wp:docPr id="26" name="Shape 26"/>
              <a:graphic xmlns:a="http://schemas.openxmlformats.org/drawingml/2006/main">
                <a:graphicData uri="http://schemas.microsoft.com/office/word/2010/wordprocessingShape">
                  <wps:wsp>
                    <wps:cNvSpPr txBox="1"/>
                    <wps:spPr>
                      <a:xfrm>
                        <a:ext cx="2593975"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wps:txbx>
                    <wps:bodyPr wrap="none" lIns="0" tIns="0" rIns="0" bIns="0">
                      <a:spAutoFit/>
                    </wps:bodyPr>
                  </wps:wsp>
                </a:graphicData>
              </a:graphic>
            </wp:anchor>
          </w:drawing>
        </mc:Choice>
        <mc:Fallback>
          <w:pict>
            <v:shape id="_x0000_s1052" type="#_x0000_t202" style="position:absolute;margin-left:59.5pt;margin-top:746.39999999999998pt;width:204.25pt;height:16.800000000000001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„III/35433 Olší nad Oslavou - most ev. č. 35433-2</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5925185</wp:posOffset>
              </wp:positionH>
              <wp:positionV relativeFrom="page">
                <wp:posOffset>9479280</wp:posOffset>
              </wp:positionV>
              <wp:extent cx="594360" cy="94615"/>
              <wp:wrapNone/>
              <wp:docPr id="28" name="Shape 28"/>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4" type="#_x0000_t202" style="position:absolute;margin-left:466.55000000000001pt;margin-top:746.39999999999998pt;width:46.799999999999997pt;height:7.4500000000000002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30" name="Shape 30"/>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3691255</wp:posOffset>
              </wp:positionH>
              <wp:positionV relativeFrom="page">
                <wp:posOffset>271145</wp:posOffset>
              </wp:positionV>
              <wp:extent cx="963295" cy="267970"/>
              <wp:wrapNone/>
              <wp:docPr id="1" name="Shape 1"/>
              <a:graphic xmlns:a="http://schemas.openxmlformats.org/drawingml/2006/main">
                <a:graphicData uri="http://schemas.microsoft.com/office/word/2010/wordprocessingShape">
                  <wps:wsp>
                    <wps:cNvSpPr txBox="1"/>
                    <wps:spPr>
                      <a:xfrm>
                        <a:ext cx="963295"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1D3864"/>
                              <w:spacing w:val="0"/>
                              <w:w w:val="100"/>
                              <w:position w:val="0"/>
                              <w:sz w:val="48"/>
                              <w:szCs w:val="48"/>
                              <w:shd w:val="clear" w:color="auto" w:fill="auto"/>
                              <w:lang w:val="cs-CZ" w:eastAsia="cs-CZ" w:bidi="cs-CZ"/>
                            </w:rPr>
                            <w:t>Q sfdi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0.64999999999998pt;margin-top:21.350000000000001pt;width:75.849999999999994pt;height:21.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1D3864"/>
                        <w:spacing w:val="0"/>
                        <w:w w:val="100"/>
                        <w:position w:val="0"/>
                        <w:sz w:val="48"/>
                        <w:szCs w:val="48"/>
                        <w:shd w:val="clear" w:color="auto" w:fill="auto"/>
                        <w:lang w:val="cs-CZ" w:eastAsia="cs-CZ" w:bidi="cs-CZ"/>
                      </w:rPr>
                      <w:t>Q sfdi</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774065</wp:posOffset>
              </wp:positionH>
              <wp:positionV relativeFrom="page">
                <wp:posOffset>295910</wp:posOffset>
              </wp:positionV>
              <wp:extent cx="2179320" cy="463550"/>
              <wp:wrapNone/>
              <wp:docPr id="3" name="Shape 3"/>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29" type="#_x0000_t202" style="position:absolute;margin-left:60.950000000000003pt;margin-top:23.300000000000001pt;width:171.59999999999999pt;height:36.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4130040</wp:posOffset>
              </wp:positionH>
              <wp:positionV relativeFrom="page">
                <wp:posOffset>579120</wp:posOffset>
              </wp:positionV>
              <wp:extent cx="536575" cy="106680"/>
              <wp:wrapNone/>
              <wp:docPr id="5" name="Shape 5"/>
              <a:graphic xmlns:a="http://schemas.openxmlformats.org/drawingml/2006/main">
                <a:graphicData uri="http://schemas.microsoft.com/office/word/2010/wordprocessingShape">
                  <wps:wsp>
                    <wps:cNvSpPr txBox="1"/>
                    <wps:spPr>
                      <a:xfrm>
                        <a:ext cx="536575"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STATNI FOND OOPR</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INF RASTRŮM T URY</w:t>
                          </w:r>
                        </w:p>
                      </w:txbxContent>
                    </wps:txbx>
                    <wps:bodyPr wrap="none" lIns="0" tIns="0" rIns="0" bIns="0">
                      <a:spAutoFit/>
                    </wps:bodyPr>
                  </wps:wsp>
                </a:graphicData>
              </a:graphic>
            </wp:anchor>
          </w:drawing>
        </mc:Choice>
        <mc:Fallback>
          <w:pict>
            <v:shape id="_x0000_s1031" type="#_x0000_t202" style="position:absolute;margin-left:325.19999999999999pt;margin-top:45.600000000000001pt;width:42.25pt;height:8.4000000000000004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STATNI FOND OOPR</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INF RASTRŮM T URY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774065</wp:posOffset>
              </wp:positionH>
              <wp:positionV relativeFrom="page">
                <wp:posOffset>295910</wp:posOffset>
              </wp:positionV>
              <wp:extent cx="2179320" cy="463550"/>
              <wp:wrapNone/>
              <wp:docPr id="13" name="Shape 13"/>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39" type="#_x0000_t202" style="position:absolute;margin-left:60.950000000000003pt;margin-top:23.300000000000001pt;width:171.59999999999999pt;height:36.5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3691255</wp:posOffset>
              </wp:positionH>
              <wp:positionV relativeFrom="page">
                <wp:posOffset>271145</wp:posOffset>
              </wp:positionV>
              <wp:extent cx="963295" cy="267970"/>
              <wp:wrapNone/>
              <wp:docPr id="20" name="Shape 20"/>
              <a:graphic xmlns:a="http://schemas.openxmlformats.org/drawingml/2006/main">
                <a:graphicData uri="http://schemas.microsoft.com/office/word/2010/wordprocessingShape">
                  <wps:wsp>
                    <wps:cNvSpPr txBox="1"/>
                    <wps:spPr>
                      <a:xfrm>
                        <a:ext cx="963295"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1D3864"/>
                              <w:spacing w:val="0"/>
                              <w:w w:val="100"/>
                              <w:position w:val="0"/>
                              <w:sz w:val="48"/>
                              <w:szCs w:val="48"/>
                              <w:shd w:val="clear" w:color="auto" w:fill="auto"/>
                              <w:lang w:val="cs-CZ" w:eastAsia="cs-CZ" w:bidi="cs-CZ"/>
                            </w:rPr>
                            <w:t>Q sfdi</w:t>
                          </w:r>
                        </w:p>
                      </w:txbxContent>
                    </wps:txbx>
                    <wps:bodyPr wrap="none" lIns="0" tIns="0" rIns="0" bIns="0">
                      <a:spAutoFit/>
                    </wps:bodyPr>
                  </wps:wsp>
                </a:graphicData>
              </a:graphic>
            </wp:anchor>
          </w:drawing>
        </mc:Choice>
        <mc:Fallback>
          <w:pict>
            <v:shape id="_x0000_s1046" type="#_x0000_t202" style="position:absolute;margin-left:290.64999999999998pt;margin-top:21.350000000000001pt;width:75.849999999999994pt;height:21.1000000000000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1D3864"/>
                        <w:spacing w:val="0"/>
                        <w:w w:val="100"/>
                        <w:position w:val="0"/>
                        <w:sz w:val="48"/>
                        <w:szCs w:val="48"/>
                        <w:shd w:val="clear" w:color="auto" w:fill="auto"/>
                        <w:lang w:val="cs-CZ" w:eastAsia="cs-CZ" w:bidi="cs-CZ"/>
                      </w:rPr>
                      <w:t>Q sfdi</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774065</wp:posOffset>
              </wp:positionH>
              <wp:positionV relativeFrom="page">
                <wp:posOffset>295910</wp:posOffset>
              </wp:positionV>
              <wp:extent cx="2179320" cy="463550"/>
              <wp:wrapNone/>
              <wp:docPr id="22" name="Shape 22"/>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48" type="#_x0000_t202" style="position:absolute;margin-left:60.950000000000003pt;margin-top:23.300000000000001pt;width:171.59999999999999pt;height:36.5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4130040</wp:posOffset>
              </wp:positionH>
              <wp:positionV relativeFrom="page">
                <wp:posOffset>579120</wp:posOffset>
              </wp:positionV>
              <wp:extent cx="536575" cy="106680"/>
              <wp:wrapNone/>
              <wp:docPr id="24" name="Shape 24"/>
              <a:graphic xmlns:a="http://schemas.openxmlformats.org/drawingml/2006/main">
                <a:graphicData uri="http://schemas.microsoft.com/office/word/2010/wordprocessingShape">
                  <wps:wsp>
                    <wps:cNvSpPr txBox="1"/>
                    <wps:spPr>
                      <a:xfrm>
                        <a:ext cx="536575"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STATNI FOND OOPR</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INF RASTRŮM T URY</w:t>
                          </w:r>
                        </w:p>
                      </w:txbxContent>
                    </wps:txbx>
                    <wps:bodyPr wrap="none" lIns="0" tIns="0" rIns="0" bIns="0">
                      <a:spAutoFit/>
                    </wps:bodyPr>
                  </wps:wsp>
                </a:graphicData>
              </a:graphic>
            </wp:anchor>
          </w:drawing>
        </mc:Choice>
        <mc:Fallback>
          <w:pict>
            <v:shape id="_x0000_s1050" type="#_x0000_t202" style="position:absolute;margin-left:325.19999999999999pt;margin-top:45.600000000000001pt;width:42.25pt;height:8.4000000000000004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STATNI FOND OOPR</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28A91"/>
                        <w:spacing w:val="0"/>
                        <w:w w:val="100"/>
                        <w:position w:val="0"/>
                        <w:sz w:val="8"/>
                        <w:szCs w:val="8"/>
                        <w:shd w:val="clear" w:color="auto" w:fill="auto"/>
                        <w:lang w:val="cs-CZ" w:eastAsia="cs-CZ" w:bidi="cs-CZ"/>
                      </w:rPr>
                      <w:t>INF RASTRŮM T URY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 (4)_"/>
    <w:basedOn w:val="DefaultParagraphFont"/>
    <w:link w:val="Style12"/>
    <w:rPr>
      <w:rFonts w:ascii="Arial" w:eastAsia="Arial" w:hAnsi="Arial" w:cs="Arial"/>
      <w:b w:val="0"/>
      <w:bCs w:val="0"/>
      <w:i w:val="0"/>
      <w:iCs w:val="0"/>
      <w:smallCaps w:val="0"/>
      <w:strike w:val="0"/>
      <w:u w:val="none"/>
    </w:rPr>
  </w:style>
  <w:style w:type="character" w:customStyle="1" w:styleId="CharStyle15">
    <w:name w:val="Základní text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8">
    <w:name w:val="Titulek tabulky_"/>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1">
    <w:name w:val="Jiné_"/>
    <w:basedOn w:val="DefaultParagraphFont"/>
    <w:link w:val="Style20"/>
    <w:rPr>
      <w:rFonts w:ascii="Arial" w:eastAsia="Arial" w:hAnsi="Arial" w:cs="Arial"/>
      <w:b w:val="0"/>
      <w:bCs w:val="0"/>
      <w:i w:val="0"/>
      <w:iCs w:val="0"/>
      <w:smallCaps w:val="0"/>
      <w:strike w:val="0"/>
      <w:sz w:val="20"/>
      <w:szCs w:val="20"/>
      <w:u w:val="none"/>
    </w:rPr>
  </w:style>
  <w:style w:type="character" w:customStyle="1" w:styleId="CharStyle30">
    <w:name w:val="Základní text (3)_"/>
    <w:basedOn w:val="DefaultParagraphFont"/>
    <w:link w:val="Style29"/>
    <w:rPr>
      <w:rFonts w:ascii="Arial" w:eastAsia="Arial" w:hAnsi="Arial" w:cs="Arial"/>
      <w:b w:val="0"/>
      <w:bCs w:val="0"/>
      <w:i w:val="0"/>
      <w:iCs w:val="0"/>
      <w:smallCaps w:val="0"/>
      <w:strike w:val="0"/>
      <w:sz w:val="16"/>
      <w:szCs w:val="16"/>
      <w:u w:val="none"/>
    </w:rPr>
  </w:style>
  <w:style w:type="character" w:customStyle="1" w:styleId="CharStyle39">
    <w:name w:val="Základní text (2)_"/>
    <w:basedOn w:val="DefaultParagraphFont"/>
    <w:link w:val="Style38"/>
    <w:rPr>
      <w:rFonts w:ascii="Arial" w:eastAsia="Arial" w:hAnsi="Arial" w:cs="Arial"/>
      <w:b/>
      <w:bCs/>
      <w:i/>
      <w:iCs/>
      <w:smallCaps w:val="0"/>
      <w:strike w:val="0"/>
      <w:sz w:val="14"/>
      <w:szCs w:val="14"/>
      <w:u w:val="none"/>
    </w:rPr>
  </w:style>
  <w:style w:type="paragraph" w:customStyle="1" w:styleId="Style2">
    <w:name w:val="Nadpis #1"/>
    <w:basedOn w:val="Normal"/>
    <w:link w:val="CharStyle3"/>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4)"/>
    <w:basedOn w:val="Normal"/>
    <w:link w:val="CharStyle13"/>
    <w:pPr>
      <w:widowControl w:val="0"/>
      <w:shd w:val="clear" w:color="auto" w:fill="FFFFFF"/>
      <w:spacing w:after="100"/>
      <w:jc w:val="center"/>
    </w:pPr>
    <w:rPr>
      <w:rFonts w:ascii="Arial" w:eastAsia="Arial" w:hAnsi="Arial" w:cs="Arial"/>
      <w:b w:val="0"/>
      <w:bCs w:val="0"/>
      <w:i w:val="0"/>
      <w:iCs w:val="0"/>
      <w:smallCaps w:val="0"/>
      <w:strike w:val="0"/>
      <w:u w:val="none"/>
    </w:rPr>
  </w:style>
  <w:style w:type="paragraph" w:customStyle="1" w:styleId="Style14">
    <w:name w:val="Základní text"/>
    <w:basedOn w:val="Normal"/>
    <w:link w:val="CharStyle15"/>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7">
    <w:name w:val="Titulek tabulky"/>
    <w:basedOn w:val="Normal"/>
    <w:link w:val="CharStyle1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0">
    <w:name w:val="Jiné"/>
    <w:basedOn w:val="Normal"/>
    <w:link w:val="CharStyle21"/>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29">
    <w:name w:val="Základní text (3)"/>
    <w:basedOn w:val="Normal"/>
    <w:link w:val="CharStyle30"/>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38">
    <w:name w:val="Základní text (2)"/>
    <w:basedOn w:val="Normal"/>
    <w:link w:val="CharStyle39"/>
    <w:pPr>
      <w:widowControl w:val="0"/>
      <w:shd w:val="clear" w:color="auto" w:fill="FFFFFF"/>
      <w:spacing w:after="180" w:line="264" w:lineRule="auto"/>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Kostelecká Miluše</dc:creator>
  <cp:keywords/>
</cp:coreProperties>
</file>